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FE285B" w14:textId="7D7AC332" w:rsidR="00E11AE8" w:rsidRDefault="004D42B9" w:rsidP="000829BE">
      <w:r w:rsidRPr="001E7894">
        <w:rPr>
          <w:noProof/>
        </w:rPr>
        <w:drawing>
          <wp:anchor distT="0" distB="0" distL="114300" distR="114300" simplePos="0" relativeHeight="251658240" behindDoc="1" locked="0" layoutInCell="1" allowOverlap="1" wp14:anchorId="03CEFBD2" wp14:editId="02F53939">
            <wp:simplePos x="0" y="0"/>
            <wp:positionH relativeFrom="margin">
              <wp:align>right</wp:align>
            </wp:positionH>
            <wp:positionV relativeFrom="paragraph">
              <wp:posOffset>0</wp:posOffset>
            </wp:positionV>
            <wp:extent cx="9096375" cy="202882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288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03EBE98" w14:textId="305CD974" w:rsidR="00903A62" w:rsidRDefault="00B86929" w:rsidP="000829BE">
      <w:pPr>
        <w:pStyle w:val="Heading9"/>
      </w:pPr>
      <w:bookmarkStart w:id="0" w:name="_Toc522623217"/>
      <w:r w:rsidRPr="00B86929">
        <w:t xml:space="preserve">CPHA-CPMS learning </w:t>
      </w:r>
      <w:proofErr w:type="gramStart"/>
      <w:r w:rsidR="008B051C">
        <w:t>package</w:t>
      </w:r>
      <w:proofErr w:type="gramEnd"/>
    </w:p>
    <w:p w14:paraId="795782A3" w14:textId="5DA41B7D" w:rsidR="00EA546B" w:rsidRDefault="008C638A" w:rsidP="000829BE">
      <w:pPr>
        <w:pStyle w:val="Heading9"/>
      </w:pPr>
      <w:r w:rsidRPr="008C638A">
        <w:t>CP Prevention and Response Strategies</w:t>
      </w:r>
      <w:r w:rsidRPr="002A26BD">
        <w:t xml:space="preserve"> </w:t>
      </w:r>
    </w:p>
    <w:p w14:paraId="6704040C" w14:textId="77777777" w:rsidR="00903A62" w:rsidRDefault="00903A62" w:rsidP="000829BE"/>
    <w:p w14:paraId="358DD791" w14:textId="77777777" w:rsidR="002A26BD" w:rsidRPr="00903A62" w:rsidRDefault="002A26BD" w:rsidP="000829BE"/>
    <w:bookmarkEnd w:id="0"/>
    <w:p w14:paraId="2D3B991B" w14:textId="52D33D6B" w:rsidR="007056C9" w:rsidRPr="00E0506C" w:rsidRDefault="00AC392E" w:rsidP="000829BE">
      <w:pPr>
        <w:pStyle w:val="1Heading1"/>
      </w:pPr>
      <w:r>
        <w:t>Objectives</w:t>
      </w:r>
    </w:p>
    <w:p w14:paraId="1E624F83" w14:textId="5F978FD9" w:rsidR="00C9183D" w:rsidRPr="0041017E" w:rsidRDefault="0041017E" w:rsidP="000829BE">
      <w:pPr>
        <w:pStyle w:val="TableSmallBlueHeading"/>
      </w:pPr>
      <w:bookmarkStart w:id="1" w:name="_Toc522623219"/>
      <w:r>
        <w:t>By the end of the session, participants will be able to:</w:t>
      </w:r>
    </w:p>
    <w:bookmarkEnd w:id="1"/>
    <w:p w14:paraId="2F0B2BE5" w14:textId="2D7C515D" w:rsidR="002C0708" w:rsidRDefault="002C0708" w:rsidP="000829BE">
      <w:pPr>
        <w:pStyle w:val="NormalTextBulletsLevel1"/>
        <w:rPr>
          <w:highlight w:val="white"/>
        </w:rPr>
      </w:pPr>
      <w:r>
        <w:rPr>
          <w:highlight w:val="white"/>
        </w:rPr>
        <w:t xml:space="preserve">Recall the Child Protection Minimum Standards which are relevant to CP </w:t>
      </w:r>
      <w:proofErr w:type="gramStart"/>
      <w:r>
        <w:rPr>
          <w:highlight w:val="white"/>
        </w:rPr>
        <w:t>strategies</w:t>
      </w:r>
      <w:proofErr w:type="gramEnd"/>
    </w:p>
    <w:p w14:paraId="5A9FCF0D" w14:textId="5B12EA50" w:rsidR="002C0708" w:rsidRDefault="002C0708" w:rsidP="000829BE">
      <w:pPr>
        <w:pStyle w:val="NormalTextBulletsLevel1"/>
        <w:rPr>
          <w:highlight w:val="white"/>
        </w:rPr>
      </w:pPr>
      <w:r>
        <w:rPr>
          <w:highlight w:val="white"/>
        </w:rPr>
        <w:t xml:space="preserve">Reflect on the most relevant CP strategies in their own </w:t>
      </w:r>
      <w:proofErr w:type="gramStart"/>
      <w:r>
        <w:rPr>
          <w:highlight w:val="white"/>
        </w:rPr>
        <w:t>context</w:t>
      </w:r>
      <w:proofErr w:type="gramEnd"/>
    </w:p>
    <w:p w14:paraId="3FD6FDEA" w14:textId="33FC0BEA" w:rsidR="002C0708" w:rsidRDefault="002C0708" w:rsidP="000829BE">
      <w:pPr>
        <w:pStyle w:val="NormalTextBulletsLevel1"/>
        <w:rPr>
          <w:highlight w:val="white"/>
        </w:rPr>
      </w:pPr>
      <w:r>
        <w:rPr>
          <w:highlight w:val="white"/>
        </w:rPr>
        <w:t xml:space="preserve">Discuss challenges and opportunities in implementing CP strategies in their own </w:t>
      </w:r>
      <w:proofErr w:type="gramStart"/>
      <w:r>
        <w:rPr>
          <w:highlight w:val="white"/>
        </w:rPr>
        <w:t>context</w:t>
      </w:r>
      <w:proofErr w:type="gramEnd"/>
    </w:p>
    <w:p w14:paraId="2AC304A4" w14:textId="77777777" w:rsidR="000C544D" w:rsidRDefault="000C544D" w:rsidP="000829BE">
      <w:pPr>
        <w:pStyle w:val="1Heading1"/>
      </w:pPr>
      <w:r>
        <w:t>Key Learning Points</w:t>
      </w:r>
    </w:p>
    <w:p w14:paraId="57E88FAB" w14:textId="77777777" w:rsidR="002D3C89" w:rsidRPr="000829BE" w:rsidRDefault="002D3C89" w:rsidP="000829BE">
      <w:pPr>
        <w:rPr>
          <w:b/>
          <w:i/>
          <w:iCs/>
        </w:rPr>
      </w:pPr>
      <w:r w:rsidRPr="000829BE">
        <w:rPr>
          <w:i/>
          <w:iCs/>
        </w:rPr>
        <w:t xml:space="preserve">To further explore content on the key learning points listed below, please refer to the “Additional Resources” section at the end of the session. </w:t>
      </w:r>
    </w:p>
    <w:p w14:paraId="4A37F370" w14:textId="77777777" w:rsidR="00AE16C9" w:rsidRDefault="00AE16C9" w:rsidP="000829BE">
      <w:pPr>
        <w:pStyle w:val="NormalTextBulletsLevel1"/>
        <w:rPr>
          <w:b/>
          <w:highlight w:val="white"/>
        </w:rPr>
      </w:pPr>
      <w:r>
        <w:rPr>
          <w:highlight w:val="white"/>
        </w:rPr>
        <w:t xml:space="preserve">Pillar 3 of the CPMS focuses on strategies and contains seven standards that detail specific strategies. These are standards 14-20. Examples of preparedness, prevention and response actions are provided for each strategy. </w:t>
      </w:r>
    </w:p>
    <w:p w14:paraId="5F82E674" w14:textId="77777777" w:rsidR="00AE16C9" w:rsidRPr="00AE16C9" w:rsidRDefault="00AE16C9" w:rsidP="000829BE">
      <w:pPr>
        <w:pStyle w:val="NormalTextBulletsLevel1"/>
        <w:rPr>
          <w:b/>
          <w:highlight w:val="white"/>
        </w:rPr>
      </w:pPr>
      <w:r>
        <w:rPr>
          <w:highlight w:val="white"/>
        </w:rPr>
        <w:lastRenderedPageBreak/>
        <w:t xml:space="preserve">The strategies included in the CPMS are: </w:t>
      </w:r>
    </w:p>
    <w:p w14:paraId="793F55EC" w14:textId="77777777" w:rsidR="00C952FD" w:rsidRPr="00C952FD" w:rsidRDefault="00C952FD" w:rsidP="000829BE">
      <w:pPr>
        <w:pStyle w:val="NormalTextBulletsLevel2"/>
        <w:rPr>
          <w:highlight w:val="white"/>
        </w:rPr>
      </w:pPr>
      <w:r w:rsidRPr="00C952FD">
        <w:rPr>
          <w:highlight w:val="white"/>
        </w:rPr>
        <w:t xml:space="preserve">Standard 15 – Group activities for child wellbeing: children’s regular and consistent engagement in group activities can positively impact their wellbeing, enhance their </w:t>
      </w:r>
      <w:proofErr w:type="gramStart"/>
      <w:r w:rsidRPr="00C952FD">
        <w:rPr>
          <w:highlight w:val="white"/>
        </w:rPr>
        <w:t>resilience</w:t>
      </w:r>
      <w:proofErr w:type="gramEnd"/>
      <w:r w:rsidRPr="00C952FD">
        <w:rPr>
          <w:highlight w:val="white"/>
        </w:rPr>
        <w:t xml:space="preserve"> and reduce their stress. Group activities provide opportunities for children to come together in a predictable and stimulating environment to be safe, to learn, to express themselves, to make connections and feel supported. Such activities can also promote protection by (a) identifying children who are vulnerable or who are experiencing abuse, neglect, </w:t>
      </w:r>
      <w:proofErr w:type="gramStart"/>
      <w:r w:rsidRPr="00C952FD">
        <w:rPr>
          <w:highlight w:val="white"/>
        </w:rPr>
        <w:t>exploitation</w:t>
      </w:r>
      <w:proofErr w:type="gramEnd"/>
      <w:r w:rsidRPr="00C952FD">
        <w:rPr>
          <w:highlight w:val="white"/>
        </w:rPr>
        <w:t xml:space="preserve"> or violence and (b) supporting appropriate referrals. Group activities can provide a sense of normalcy. </w:t>
      </w:r>
    </w:p>
    <w:p w14:paraId="0DD048D5" w14:textId="77777777" w:rsidR="00C952FD" w:rsidRPr="00C952FD" w:rsidRDefault="00C952FD" w:rsidP="000829BE">
      <w:pPr>
        <w:pStyle w:val="NormalTextBulletsLevel2"/>
        <w:rPr>
          <w:highlight w:val="white"/>
        </w:rPr>
      </w:pPr>
      <w:r w:rsidRPr="00C952FD">
        <w:rPr>
          <w:highlight w:val="white"/>
        </w:rPr>
        <w:t xml:space="preserve">Standard 16 – Strengthening Family and Caregiving Environments: strengthening family and caregiving environments is an important part of building effective child protection systems. A strengthening approach </w:t>
      </w:r>
      <w:proofErr w:type="spellStart"/>
      <w:r w:rsidRPr="00C952FD">
        <w:rPr>
          <w:highlight w:val="white"/>
        </w:rPr>
        <w:t>recognises</w:t>
      </w:r>
      <w:proofErr w:type="spellEnd"/>
      <w:r w:rsidRPr="00C952FD">
        <w:rPr>
          <w:highlight w:val="white"/>
        </w:rPr>
        <w:t xml:space="preserve"> and builds on existing strengths within families. It </w:t>
      </w:r>
      <w:proofErr w:type="spellStart"/>
      <w:r w:rsidRPr="00C952FD">
        <w:rPr>
          <w:highlight w:val="white"/>
        </w:rPr>
        <w:t>recognises</w:t>
      </w:r>
      <w:proofErr w:type="spellEnd"/>
      <w:r w:rsidRPr="00C952FD">
        <w:rPr>
          <w:highlight w:val="white"/>
        </w:rPr>
        <w:t xml:space="preserve"> that if we ensure all families have access to the services and </w:t>
      </w:r>
      <w:proofErr w:type="gramStart"/>
      <w:r w:rsidRPr="00C952FD">
        <w:rPr>
          <w:highlight w:val="white"/>
        </w:rPr>
        <w:t>support</w:t>
      </w:r>
      <w:proofErr w:type="gramEnd"/>
      <w:r w:rsidRPr="00C952FD">
        <w:rPr>
          <w:highlight w:val="white"/>
        </w:rPr>
        <w:t xml:space="preserve"> they need and if we help caregivers develop positive coping strategies and parenting skills, we also help reduce the risk of childhood neglect, violence and abuse. </w:t>
      </w:r>
    </w:p>
    <w:p w14:paraId="0A86BDDE" w14:textId="77777777" w:rsidR="00C952FD" w:rsidRPr="00C952FD" w:rsidRDefault="00C952FD" w:rsidP="000829BE">
      <w:pPr>
        <w:pStyle w:val="NormalTextBulletsLevel2"/>
        <w:rPr>
          <w:highlight w:val="white"/>
        </w:rPr>
      </w:pPr>
      <w:r w:rsidRPr="00C952FD">
        <w:rPr>
          <w:highlight w:val="white"/>
        </w:rPr>
        <w:t xml:space="preserve">Standard 17 – Community level approaches: communities play significant roles in preventing and responding to the risks children face in humanitarian settings. Communities </w:t>
      </w:r>
      <w:proofErr w:type="spellStart"/>
      <w:r w:rsidRPr="00C952FD">
        <w:rPr>
          <w:highlight w:val="white"/>
        </w:rPr>
        <w:t>organise</w:t>
      </w:r>
      <w:proofErr w:type="spellEnd"/>
      <w:r w:rsidRPr="00C952FD">
        <w:rPr>
          <w:highlight w:val="white"/>
        </w:rPr>
        <w:t xml:space="preserve"> themselves in a variety of ways to protect children – including adolescents – who are at risk. </w:t>
      </w:r>
    </w:p>
    <w:p w14:paraId="0DD9BAF2" w14:textId="3DCB4676" w:rsidR="00C952FD" w:rsidRPr="00AE07D8" w:rsidRDefault="00C952FD" w:rsidP="000829BE">
      <w:pPr>
        <w:pStyle w:val="NormalTextBulletsLevel2"/>
        <w:rPr>
          <w:highlight w:val="white"/>
        </w:rPr>
      </w:pPr>
      <w:r w:rsidRPr="00C952FD">
        <w:rPr>
          <w:highlight w:val="white"/>
        </w:rPr>
        <w:t xml:space="preserve">Standard 18 – Case management: case management (CM) is an approach for addressing the needs of an individual child who is at risk of harm or has been harmed. The child and their family are supported by a caseworker in a systematic and timely manner through direct support and referrals. CM provides </w:t>
      </w:r>
      <w:proofErr w:type="spellStart"/>
      <w:r w:rsidRPr="00C952FD">
        <w:rPr>
          <w:highlight w:val="white"/>
        </w:rPr>
        <w:t>individualised</w:t>
      </w:r>
      <w:proofErr w:type="spellEnd"/>
      <w:r w:rsidRPr="00C952FD">
        <w:rPr>
          <w:highlight w:val="white"/>
        </w:rPr>
        <w:t xml:space="preserve">, coordinated, holistic and multi-sectoral support for complex and often connected child protection concerns. </w:t>
      </w:r>
    </w:p>
    <w:p w14:paraId="74E59D9E" w14:textId="77777777" w:rsidR="00C952FD" w:rsidRPr="00C952FD" w:rsidRDefault="00C952FD" w:rsidP="000829BE">
      <w:pPr>
        <w:pStyle w:val="NormalTextBulletsLevel2"/>
        <w:rPr>
          <w:highlight w:val="white"/>
        </w:rPr>
      </w:pPr>
      <w:r w:rsidRPr="00C952FD">
        <w:rPr>
          <w:highlight w:val="white"/>
        </w:rPr>
        <w:t xml:space="preserve">Standard 19 – Alternative care: all children without suitable and appropriate care should receive alternative care according to their rights, specific needs, wishes and best interests, </w:t>
      </w:r>
      <w:proofErr w:type="spellStart"/>
      <w:r w:rsidRPr="00C952FD">
        <w:rPr>
          <w:highlight w:val="white"/>
        </w:rPr>
        <w:t>prioritising</w:t>
      </w:r>
      <w:proofErr w:type="spellEnd"/>
      <w:r w:rsidRPr="00C952FD">
        <w:rPr>
          <w:highlight w:val="white"/>
        </w:rPr>
        <w:t xml:space="preserve"> family-based </w:t>
      </w:r>
      <w:proofErr w:type="gramStart"/>
      <w:r w:rsidRPr="00C952FD">
        <w:rPr>
          <w:highlight w:val="white"/>
        </w:rPr>
        <w:t>care</w:t>
      </w:r>
      <w:proofErr w:type="gramEnd"/>
      <w:r w:rsidRPr="00C952FD">
        <w:rPr>
          <w:highlight w:val="white"/>
        </w:rPr>
        <w:t xml:space="preserve"> and stable care arrangements. Alternative care is care provided to children by caregivers who are not biological parents or usual primary caregivers. It may be formal or informal. </w:t>
      </w:r>
    </w:p>
    <w:p w14:paraId="27DCB015" w14:textId="77777777" w:rsidR="00C952FD" w:rsidRPr="00C952FD" w:rsidRDefault="00C952FD" w:rsidP="000829BE">
      <w:pPr>
        <w:pStyle w:val="NormalTextBulletsLevel2"/>
        <w:rPr>
          <w:highlight w:val="white"/>
        </w:rPr>
      </w:pPr>
      <w:r w:rsidRPr="00C952FD">
        <w:rPr>
          <w:highlight w:val="white"/>
        </w:rPr>
        <w:t>Standard 20 – Justice for children: humanitarian child protection actors have opportunities to work with national and local actors to strengthen justice for children. Justice for children strategies cover both (a) efforts to protect children through formal and customary laws and (b) interventions that seek to overcome the risks that justice systems may present.</w:t>
      </w:r>
    </w:p>
    <w:p w14:paraId="513B2BC3" w14:textId="526B586A" w:rsidR="009F4F07" w:rsidRPr="000829BE" w:rsidRDefault="00735F5E" w:rsidP="000829BE">
      <w:pPr>
        <w:pStyle w:val="NormalTextBulletsLevel1"/>
        <w:rPr>
          <w:highlight w:val="white"/>
        </w:rPr>
      </w:pPr>
      <w:r>
        <w:rPr>
          <w:highlight w:val="white"/>
        </w:rPr>
        <w:lastRenderedPageBreak/>
        <w:t xml:space="preserve">It is important to consider which strategies are most relevant to your own context, based on the risks that exist and any existing protective factors. The CPMS contains guidance which can help you in these reflections and discussions.  </w:t>
      </w:r>
    </w:p>
    <w:p w14:paraId="64EB4ADA" w14:textId="77777777" w:rsidR="00CD4FAA" w:rsidRDefault="00CD4FAA" w:rsidP="000829BE">
      <w:pPr>
        <w:pStyle w:val="1Heading1"/>
      </w:pPr>
      <w:r>
        <w:t>Session o</w:t>
      </w:r>
      <w:r w:rsidRPr="005D4A25">
        <w:t>utlin</w:t>
      </w:r>
      <w:r>
        <w:t>e</w:t>
      </w:r>
    </w:p>
    <w:p w14:paraId="5F0ABF48" w14:textId="77777777" w:rsidR="00AD45CF" w:rsidRPr="00AD45CF" w:rsidRDefault="00AD45CF" w:rsidP="000829BE">
      <w:pPr>
        <w:pStyle w:val="Mormal03CMIndent"/>
      </w:pPr>
      <w:r w:rsidRPr="00AD45CF">
        <w:t xml:space="preserve">*Make sure to facilitate breaks and include energizers as needed </w:t>
      </w:r>
    </w:p>
    <w:tbl>
      <w:tblPr>
        <w:tblW w:w="11190"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4820"/>
        <w:gridCol w:w="1124"/>
      </w:tblGrid>
      <w:tr w:rsidR="00E63327" w:rsidRPr="00127A03" w14:paraId="7CBBE7CB" w14:textId="77777777" w:rsidTr="00AE07D8">
        <w:trPr>
          <w:trHeight w:val="452"/>
        </w:trPr>
        <w:tc>
          <w:tcPr>
            <w:tcW w:w="5246" w:type="dxa"/>
            <w:shd w:val="clear" w:color="auto" w:fill="415E78"/>
            <w:tcMar>
              <w:top w:w="0" w:type="dxa"/>
              <w:left w:w="0" w:type="dxa"/>
              <w:bottom w:w="0" w:type="dxa"/>
              <w:right w:w="0" w:type="dxa"/>
            </w:tcMar>
            <w:vAlign w:val="center"/>
          </w:tcPr>
          <w:p w14:paraId="137BD724" w14:textId="77777777" w:rsidR="00E63327" w:rsidRPr="00145685" w:rsidRDefault="00E63327" w:rsidP="000829BE">
            <w:pPr>
              <w:pStyle w:val="TableWhiteHeadings"/>
            </w:pPr>
            <w:r w:rsidRPr="00145685">
              <w:t>Topic</w:t>
            </w:r>
          </w:p>
        </w:tc>
        <w:tc>
          <w:tcPr>
            <w:tcW w:w="4820" w:type="dxa"/>
            <w:shd w:val="clear" w:color="auto" w:fill="415E78"/>
            <w:tcMar>
              <w:top w:w="0" w:type="dxa"/>
              <w:left w:w="0" w:type="dxa"/>
              <w:bottom w:w="0" w:type="dxa"/>
              <w:right w:w="0" w:type="dxa"/>
            </w:tcMar>
            <w:vAlign w:val="center"/>
          </w:tcPr>
          <w:p w14:paraId="10F940F8" w14:textId="77777777" w:rsidR="00E63327" w:rsidRPr="00145685" w:rsidRDefault="00E63327" w:rsidP="000829BE">
            <w:pPr>
              <w:pStyle w:val="TableWhiteHeadings"/>
            </w:pPr>
            <w:r w:rsidRPr="00145685">
              <w:t>Methodology</w:t>
            </w:r>
          </w:p>
        </w:tc>
        <w:tc>
          <w:tcPr>
            <w:tcW w:w="1124" w:type="dxa"/>
            <w:shd w:val="clear" w:color="auto" w:fill="415E78"/>
            <w:tcMar>
              <w:top w:w="0" w:type="dxa"/>
              <w:left w:w="0" w:type="dxa"/>
              <w:bottom w:w="0" w:type="dxa"/>
              <w:right w:w="0" w:type="dxa"/>
            </w:tcMar>
            <w:vAlign w:val="center"/>
          </w:tcPr>
          <w:p w14:paraId="453E291C" w14:textId="77777777" w:rsidR="00E63327" w:rsidRPr="00145685" w:rsidRDefault="00E63327" w:rsidP="000829BE">
            <w:pPr>
              <w:pStyle w:val="TableWhiteHeadings"/>
            </w:pPr>
            <w:r w:rsidRPr="00145685">
              <w:t>Time</w:t>
            </w:r>
          </w:p>
        </w:tc>
      </w:tr>
      <w:tr w:rsidR="00972E4E" w14:paraId="3C9B36A7" w14:textId="77777777" w:rsidTr="00AE07D8">
        <w:trPr>
          <w:trHeight w:val="452"/>
        </w:trPr>
        <w:tc>
          <w:tcPr>
            <w:tcW w:w="5246" w:type="dxa"/>
            <w:shd w:val="clear" w:color="auto" w:fill="F2F2F2" w:themeFill="background1" w:themeFillShade="F2"/>
            <w:tcMar>
              <w:top w:w="0" w:type="dxa"/>
              <w:left w:w="0" w:type="dxa"/>
              <w:bottom w:w="0" w:type="dxa"/>
              <w:right w:w="0" w:type="dxa"/>
            </w:tcMar>
            <w:vAlign w:val="center"/>
          </w:tcPr>
          <w:p w14:paraId="4FB841AB" w14:textId="0643E8A9" w:rsidR="00972E4E" w:rsidRPr="005970E1" w:rsidRDefault="005970E1" w:rsidP="000829BE">
            <w:pPr>
              <w:pStyle w:val="NormalFontForTable"/>
            </w:pPr>
            <w:r>
              <w:t xml:space="preserve">CP strategies: standard 15 to standard </w:t>
            </w:r>
            <w:r w:rsidR="00C145B8">
              <w:br/>
            </w:r>
            <w:r>
              <w:t>20 - Case Studies Carousel</w:t>
            </w:r>
          </w:p>
        </w:tc>
        <w:tc>
          <w:tcPr>
            <w:tcW w:w="4820" w:type="dxa"/>
            <w:shd w:val="clear" w:color="auto" w:fill="F2F2F2" w:themeFill="background1" w:themeFillShade="F2"/>
            <w:tcMar>
              <w:top w:w="0" w:type="dxa"/>
              <w:left w:w="0" w:type="dxa"/>
              <w:bottom w:w="0" w:type="dxa"/>
              <w:right w:w="0" w:type="dxa"/>
            </w:tcMar>
            <w:vAlign w:val="center"/>
          </w:tcPr>
          <w:p w14:paraId="6ABC1EC0" w14:textId="01ECC6A1" w:rsidR="00972E4E" w:rsidRPr="00F87CCB" w:rsidRDefault="00F93CA5" w:rsidP="000829BE">
            <w:pPr>
              <w:pStyle w:val="NormalFontForTable"/>
            </w:pPr>
            <w:r w:rsidRPr="00F87CCB">
              <w:t>Carousel Case Study Review</w:t>
            </w:r>
          </w:p>
        </w:tc>
        <w:tc>
          <w:tcPr>
            <w:tcW w:w="1124" w:type="dxa"/>
            <w:shd w:val="clear" w:color="auto" w:fill="F2F2F2" w:themeFill="background1" w:themeFillShade="F2"/>
            <w:tcMar>
              <w:top w:w="0" w:type="dxa"/>
              <w:left w:w="0" w:type="dxa"/>
              <w:bottom w:w="0" w:type="dxa"/>
              <w:right w:w="0" w:type="dxa"/>
            </w:tcMar>
            <w:vAlign w:val="center"/>
          </w:tcPr>
          <w:p w14:paraId="4DF49F97" w14:textId="2E349813" w:rsidR="00972E4E" w:rsidRPr="004825A4" w:rsidRDefault="00F93CA5" w:rsidP="000829BE">
            <w:pPr>
              <w:pStyle w:val="NormalFontForTable"/>
            </w:pPr>
            <w:r>
              <w:t>60</w:t>
            </w:r>
            <w:r w:rsidR="00972E4E">
              <w:t xml:space="preserve"> min</w:t>
            </w:r>
          </w:p>
        </w:tc>
      </w:tr>
      <w:tr w:rsidR="009F1484" w14:paraId="61153655" w14:textId="77777777" w:rsidTr="00AE07D8">
        <w:trPr>
          <w:trHeight w:val="452"/>
        </w:trPr>
        <w:tc>
          <w:tcPr>
            <w:tcW w:w="5246" w:type="dxa"/>
            <w:shd w:val="clear" w:color="auto" w:fill="FFFFFF"/>
            <w:tcMar>
              <w:top w:w="0" w:type="dxa"/>
              <w:left w:w="0" w:type="dxa"/>
              <w:bottom w:w="0" w:type="dxa"/>
              <w:right w:w="0" w:type="dxa"/>
            </w:tcMar>
            <w:vAlign w:val="center"/>
          </w:tcPr>
          <w:p w14:paraId="298C737F" w14:textId="41679F19" w:rsidR="009F1484" w:rsidRPr="00F87CCB" w:rsidRDefault="0048224D" w:rsidP="000829BE">
            <w:pPr>
              <w:pStyle w:val="NormalFontForTable"/>
            </w:pPr>
            <w:r w:rsidRPr="00F87CCB">
              <w:t xml:space="preserve">CP strategies: standard 15 to standard </w:t>
            </w:r>
            <w:r w:rsidR="00C145B8">
              <w:br/>
            </w:r>
            <w:proofErr w:type="gramStart"/>
            <w:r w:rsidRPr="00F87CCB">
              <w:t>20  -</w:t>
            </w:r>
            <w:proofErr w:type="gramEnd"/>
            <w:r w:rsidRPr="00F87CCB">
              <w:t xml:space="preserve"> Case Study Carousel</w:t>
            </w:r>
          </w:p>
        </w:tc>
        <w:tc>
          <w:tcPr>
            <w:tcW w:w="4820" w:type="dxa"/>
            <w:shd w:val="clear" w:color="auto" w:fill="FFFFFF"/>
            <w:tcMar>
              <w:top w:w="0" w:type="dxa"/>
              <w:left w:w="0" w:type="dxa"/>
              <w:bottom w:w="0" w:type="dxa"/>
              <w:right w:w="0" w:type="dxa"/>
            </w:tcMar>
            <w:vAlign w:val="center"/>
          </w:tcPr>
          <w:p w14:paraId="0C3785EA" w14:textId="2038F328" w:rsidR="009F1484" w:rsidRPr="00F87CCB" w:rsidRDefault="00F87CCB" w:rsidP="000829BE">
            <w:pPr>
              <w:pStyle w:val="NormalFontForTable"/>
            </w:pPr>
            <w:r w:rsidRPr="00F87CCB">
              <w:t>Carousel Plenary Feedback</w:t>
            </w:r>
          </w:p>
        </w:tc>
        <w:tc>
          <w:tcPr>
            <w:tcW w:w="1124" w:type="dxa"/>
            <w:shd w:val="clear" w:color="auto" w:fill="FFFFFF"/>
            <w:tcMar>
              <w:top w:w="0" w:type="dxa"/>
              <w:left w:w="0" w:type="dxa"/>
              <w:bottom w:w="0" w:type="dxa"/>
              <w:right w:w="0" w:type="dxa"/>
            </w:tcMar>
            <w:vAlign w:val="center"/>
          </w:tcPr>
          <w:p w14:paraId="49190D04" w14:textId="27740D68" w:rsidR="009F1484" w:rsidRPr="009F1484" w:rsidRDefault="00F87CCB" w:rsidP="000829BE">
            <w:pPr>
              <w:pStyle w:val="NormalFontForTable"/>
            </w:pPr>
            <w:r>
              <w:t>45</w:t>
            </w:r>
            <w:r w:rsidR="009F1484" w:rsidRPr="009F1484">
              <w:t xml:space="preserve"> min</w:t>
            </w:r>
          </w:p>
        </w:tc>
      </w:tr>
      <w:tr w:rsidR="003E0223" w14:paraId="37F76EA0" w14:textId="77777777" w:rsidTr="00AE07D8">
        <w:trPr>
          <w:trHeight w:val="452"/>
        </w:trPr>
        <w:tc>
          <w:tcPr>
            <w:tcW w:w="5246" w:type="dxa"/>
            <w:shd w:val="clear" w:color="auto" w:fill="F2F2F2" w:themeFill="background1" w:themeFillShade="F2"/>
            <w:tcMar>
              <w:top w:w="0" w:type="dxa"/>
              <w:left w:w="0" w:type="dxa"/>
              <w:bottom w:w="0" w:type="dxa"/>
              <w:right w:w="0" w:type="dxa"/>
            </w:tcMar>
            <w:vAlign w:val="center"/>
          </w:tcPr>
          <w:p w14:paraId="1B756112" w14:textId="725A3AFE" w:rsidR="003E0223" w:rsidRPr="001E0E49" w:rsidRDefault="00BF6052" w:rsidP="000829BE">
            <w:pPr>
              <w:pStyle w:val="NormalFontForTable"/>
            </w:pPr>
            <w:r w:rsidRPr="001E0E49">
              <w:t>Recap</w:t>
            </w:r>
          </w:p>
        </w:tc>
        <w:tc>
          <w:tcPr>
            <w:tcW w:w="4820" w:type="dxa"/>
            <w:shd w:val="clear" w:color="auto" w:fill="F2F2F2" w:themeFill="background1" w:themeFillShade="F2"/>
            <w:tcMar>
              <w:top w:w="0" w:type="dxa"/>
              <w:left w:w="0" w:type="dxa"/>
              <w:bottom w:w="0" w:type="dxa"/>
              <w:right w:w="0" w:type="dxa"/>
            </w:tcMar>
            <w:vAlign w:val="center"/>
          </w:tcPr>
          <w:p w14:paraId="0119C171" w14:textId="2B22E01B" w:rsidR="003E0223" w:rsidRPr="00FC56D3" w:rsidRDefault="003E0223" w:rsidP="000829BE">
            <w:pPr>
              <w:pStyle w:val="NormalFontForTable"/>
            </w:pPr>
          </w:p>
        </w:tc>
        <w:tc>
          <w:tcPr>
            <w:tcW w:w="1124" w:type="dxa"/>
            <w:shd w:val="clear" w:color="auto" w:fill="F2F2F2" w:themeFill="background1" w:themeFillShade="F2"/>
            <w:tcMar>
              <w:top w:w="0" w:type="dxa"/>
              <w:left w:w="0" w:type="dxa"/>
              <w:bottom w:w="0" w:type="dxa"/>
              <w:right w:w="0" w:type="dxa"/>
            </w:tcMar>
            <w:vAlign w:val="center"/>
          </w:tcPr>
          <w:p w14:paraId="541EAD9E" w14:textId="155FE8C3" w:rsidR="003E0223" w:rsidRDefault="001E0E49" w:rsidP="000829BE">
            <w:pPr>
              <w:pStyle w:val="NormalFontForTable"/>
            </w:pPr>
            <w:r>
              <w:t>5</w:t>
            </w:r>
            <w:r w:rsidRPr="00C7494A">
              <w:t xml:space="preserve"> min</w:t>
            </w:r>
          </w:p>
        </w:tc>
      </w:tr>
      <w:tr w:rsidR="00E85FBB" w14:paraId="2E114B1F" w14:textId="77777777" w:rsidTr="00AE07D8">
        <w:trPr>
          <w:trHeight w:val="452"/>
        </w:trPr>
        <w:tc>
          <w:tcPr>
            <w:tcW w:w="5246" w:type="dxa"/>
            <w:tcBorders>
              <w:top w:val="single" w:sz="2" w:space="0" w:color="405D7B"/>
              <w:left w:val="single" w:sz="2" w:space="0" w:color="405D7B"/>
              <w:bottom w:val="single" w:sz="2" w:space="0" w:color="405D7B"/>
              <w:right w:val="nil"/>
            </w:tcBorders>
            <w:shd w:val="clear" w:color="auto" w:fill="FFFFFF" w:themeFill="background1"/>
            <w:tcMar>
              <w:top w:w="0" w:type="dxa"/>
              <w:left w:w="0" w:type="dxa"/>
              <w:bottom w:w="0" w:type="dxa"/>
              <w:right w:w="0" w:type="dxa"/>
            </w:tcMar>
            <w:vAlign w:val="center"/>
          </w:tcPr>
          <w:p w14:paraId="086A62F9" w14:textId="1B311B3D" w:rsidR="00E85FBB" w:rsidRPr="00C705B7" w:rsidRDefault="00E85FBB" w:rsidP="000829BE">
            <w:pPr>
              <w:pStyle w:val="NormalFontForTable"/>
            </w:pPr>
            <w:r w:rsidRPr="00C705B7">
              <w:t>Total</w:t>
            </w:r>
          </w:p>
        </w:tc>
        <w:tc>
          <w:tcPr>
            <w:tcW w:w="4820" w:type="dxa"/>
            <w:tcBorders>
              <w:top w:val="single" w:sz="2" w:space="0" w:color="405D7B"/>
              <w:left w:val="nil"/>
              <w:bottom w:val="single" w:sz="2" w:space="0" w:color="405D7B"/>
              <w:right w:val="single" w:sz="2" w:space="0" w:color="405D7B"/>
            </w:tcBorders>
            <w:shd w:val="clear" w:color="auto" w:fill="FFFFFF" w:themeFill="background1"/>
            <w:tcMar>
              <w:top w:w="0" w:type="dxa"/>
              <w:left w:w="0" w:type="dxa"/>
              <w:bottom w:w="0" w:type="dxa"/>
              <w:right w:w="0" w:type="dxa"/>
            </w:tcMar>
            <w:vAlign w:val="center"/>
          </w:tcPr>
          <w:p w14:paraId="7463A739" w14:textId="45EEB76B" w:rsidR="00E85FBB" w:rsidRPr="004825A4" w:rsidRDefault="00E85FBB" w:rsidP="000829BE">
            <w:pPr>
              <w:pStyle w:val="NormalFontForTable"/>
            </w:pPr>
          </w:p>
        </w:tc>
        <w:tc>
          <w:tcPr>
            <w:tcW w:w="1124" w:type="dxa"/>
            <w:tcBorders>
              <w:top w:val="single" w:sz="2" w:space="0" w:color="405D7B"/>
              <w:left w:val="single" w:sz="2" w:space="0" w:color="405D7B"/>
              <w:bottom w:val="single" w:sz="2" w:space="0" w:color="405D7B"/>
              <w:right w:val="single" w:sz="2" w:space="0" w:color="405D7B"/>
            </w:tcBorders>
            <w:shd w:val="clear" w:color="auto" w:fill="FFFFFF" w:themeFill="background1"/>
            <w:tcMar>
              <w:top w:w="0" w:type="dxa"/>
              <w:left w:w="0" w:type="dxa"/>
              <w:bottom w:w="0" w:type="dxa"/>
              <w:right w:w="0" w:type="dxa"/>
            </w:tcMar>
            <w:vAlign w:val="center"/>
          </w:tcPr>
          <w:p w14:paraId="2E131B76" w14:textId="35C05EDE" w:rsidR="00E85FBB" w:rsidRPr="004825A4" w:rsidRDefault="00F87CCB" w:rsidP="000829BE">
            <w:pPr>
              <w:pStyle w:val="NormalFontForTable"/>
            </w:pPr>
            <w:r>
              <w:t>110</w:t>
            </w:r>
            <w:r w:rsidR="00E85FBB" w:rsidRPr="004825A4">
              <w:t xml:space="preserve"> min</w:t>
            </w:r>
          </w:p>
        </w:tc>
      </w:tr>
    </w:tbl>
    <w:p w14:paraId="28C6A920" w14:textId="77777777" w:rsidR="00FC56D3" w:rsidRDefault="00FC56D3" w:rsidP="000829BE">
      <w:pPr>
        <w:pStyle w:val="BulletsLevel2"/>
        <w:numPr>
          <w:ilvl w:val="0"/>
          <w:numId w:val="0"/>
        </w:numPr>
        <w:ind w:left="1208"/>
      </w:pPr>
    </w:p>
    <w:p w14:paraId="31BAA326" w14:textId="08F2BD0A" w:rsidR="0059398D" w:rsidRDefault="0086548E" w:rsidP="000829BE">
      <w:pPr>
        <w:pStyle w:val="1Heading1"/>
      </w:pPr>
      <w:r w:rsidRPr="00725D5A">
        <w:t>Instructions for facilitator</w:t>
      </w:r>
      <w:bookmarkStart w:id="2" w:name="_Toc522623220"/>
    </w:p>
    <w:bookmarkEnd w:id="2"/>
    <w:p w14:paraId="26DCE0D7" w14:textId="77777777" w:rsidR="00E11AE8" w:rsidRDefault="00E11AE8" w:rsidP="000829BE"/>
    <w:tbl>
      <w:tblPr>
        <w:tblStyle w:val="TableGrid"/>
        <w:tblW w:w="0" w:type="auto"/>
        <w:tblLook w:val="04A0" w:firstRow="1" w:lastRow="0" w:firstColumn="1" w:lastColumn="0" w:noHBand="0" w:noVBand="1"/>
      </w:tblPr>
      <w:tblGrid>
        <w:gridCol w:w="7267"/>
        <w:gridCol w:w="6058"/>
        <w:gridCol w:w="993"/>
      </w:tblGrid>
      <w:tr w:rsidR="00CE316F" w:rsidRPr="00B11BDB" w14:paraId="525B3164" w14:textId="77777777" w:rsidTr="00A975BE">
        <w:trPr>
          <w:trHeight w:val="465"/>
        </w:trPr>
        <w:tc>
          <w:tcPr>
            <w:tcW w:w="7267" w:type="dxa"/>
            <w:tcBorders>
              <w:top w:val="nil"/>
              <w:left w:val="nil"/>
              <w:bottom w:val="single" w:sz="4" w:space="0" w:color="BFBFBF" w:themeColor="background1" w:themeShade="BF"/>
              <w:right w:val="nil"/>
            </w:tcBorders>
            <w:shd w:val="clear" w:color="auto" w:fill="415E78"/>
            <w:vAlign w:val="center"/>
          </w:tcPr>
          <w:p w14:paraId="4C69BF04" w14:textId="05694FE5" w:rsidR="00CE316F" w:rsidRPr="00B464D0" w:rsidRDefault="00CE316F" w:rsidP="000829BE">
            <w:pPr>
              <w:pStyle w:val="TablWhiteHeading0MArgins"/>
            </w:pPr>
            <w:r w:rsidRPr="00B464D0">
              <w:t>Methodologies Face to Face</w:t>
            </w:r>
          </w:p>
        </w:tc>
        <w:tc>
          <w:tcPr>
            <w:tcW w:w="6058" w:type="dxa"/>
            <w:tcBorders>
              <w:top w:val="nil"/>
              <w:left w:val="nil"/>
              <w:bottom w:val="single" w:sz="4" w:space="0" w:color="BFBFBF" w:themeColor="background1" w:themeShade="BF"/>
              <w:right w:val="nil"/>
            </w:tcBorders>
            <w:shd w:val="clear" w:color="auto" w:fill="415E78"/>
            <w:vAlign w:val="center"/>
          </w:tcPr>
          <w:p w14:paraId="0FD1DE17" w14:textId="3A655FE7" w:rsidR="00CE316F" w:rsidRPr="00B464D0" w:rsidRDefault="00CE316F" w:rsidP="000829BE">
            <w:pPr>
              <w:pStyle w:val="TablWhiteHeading0MArgins"/>
            </w:pPr>
            <w:r w:rsidRPr="00B464D0">
              <w:t>Methodologies Remote</w:t>
            </w:r>
          </w:p>
        </w:tc>
        <w:tc>
          <w:tcPr>
            <w:tcW w:w="993" w:type="dxa"/>
            <w:tcBorders>
              <w:top w:val="nil"/>
              <w:left w:val="nil"/>
              <w:bottom w:val="single" w:sz="4" w:space="0" w:color="BFBFBF" w:themeColor="background1" w:themeShade="BF"/>
              <w:right w:val="nil"/>
            </w:tcBorders>
            <w:shd w:val="clear" w:color="auto" w:fill="415E78"/>
            <w:vAlign w:val="center"/>
          </w:tcPr>
          <w:p w14:paraId="0141BF79" w14:textId="77777777" w:rsidR="00CE316F" w:rsidRPr="00B464D0" w:rsidRDefault="00CE316F" w:rsidP="000829BE">
            <w:pPr>
              <w:pStyle w:val="TablWhiteHeading0MArgins"/>
            </w:pPr>
            <w:r w:rsidRPr="00B464D0">
              <w:rPr>
                <w:rStyle w:val="Emphasis"/>
                <w:i w:val="0"/>
                <w:iCs w:val="0"/>
              </w:rPr>
              <w:t>Time</w:t>
            </w:r>
          </w:p>
        </w:tc>
      </w:tr>
      <w:tr w:rsidR="00CE316F" w:rsidRPr="00B11BDB" w14:paraId="5EC2E405" w14:textId="77777777" w:rsidTr="00A975BE">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5EEF733" w14:textId="77777777" w:rsidR="008C1256" w:rsidRDefault="008C1256" w:rsidP="000829BE">
            <w:pPr>
              <w:pStyle w:val="TableSmallBlueHeading"/>
            </w:pPr>
            <w:r>
              <w:t>CP strategies: standard 15 to standard 20</w:t>
            </w:r>
          </w:p>
          <w:p w14:paraId="761B29C2" w14:textId="77777777" w:rsidR="00B10AE4" w:rsidRPr="00B10AE4" w:rsidRDefault="00B10AE4" w:rsidP="000829BE">
            <w:r>
              <w:rPr>
                <w:b/>
              </w:rPr>
              <w:t>Say:</w:t>
            </w:r>
            <w:r>
              <w:t xml:space="preserve"> Pillar 3 focuses on strategies</w:t>
            </w:r>
            <w:r w:rsidRPr="00B10AE4">
              <w:t xml:space="preserve"> and contains seven standards that detail specific strategies. These are standards 14-20. Standard 14 is </w:t>
            </w:r>
            <w:r w:rsidRPr="00B10AE4">
              <w:lastRenderedPageBreak/>
              <w:t xml:space="preserve">the standard linked </w:t>
            </w:r>
            <w:r w:rsidRPr="000829BE">
              <w:t>to the Socio</w:t>
            </w:r>
            <w:r w:rsidRPr="00B10AE4">
              <w:t xml:space="preserve">-Ecological model that we have already talked about. We are now going to cover the other standards. </w:t>
            </w:r>
          </w:p>
          <w:p w14:paraId="0B1DF97B" w14:textId="77777777" w:rsidR="00B10AE4" w:rsidRDefault="00B10AE4" w:rsidP="000829BE">
            <w:r w:rsidRPr="00B10AE4">
              <w:t xml:space="preserve">Instructions: (Slide 32) You are going to be working in 6 groups to review some case studies. In your group, jointly decide who will have the role of table host and report back to plenary at the end of the exercise. Then you will have 15 minutes to read the first case study and to discuss and answer two questions: </w:t>
            </w:r>
          </w:p>
          <w:p w14:paraId="14BB1C36" w14:textId="77777777" w:rsidR="00743978" w:rsidRPr="00743978" w:rsidRDefault="00743978" w:rsidP="000829BE">
            <w:pPr>
              <w:pStyle w:val="NormalTextBulletsLevel1"/>
            </w:pPr>
            <w:r w:rsidRPr="00743978">
              <w:t>Which standard (15-20) is most relevant to the case study?</w:t>
            </w:r>
          </w:p>
          <w:p w14:paraId="6935FD03" w14:textId="77777777" w:rsidR="00743978" w:rsidRPr="00743978" w:rsidRDefault="00743978" w:rsidP="000829BE">
            <w:pPr>
              <w:pStyle w:val="NormalTextBulletsLevel1"/>
            </w:pPr>
            <w:r w:rsidRPr="00743978">
              <w:t>What key actions from the standard are included/described in the case study?</w:t>
            </w:r>
          </w:p>
          <w:p w14:paraId="6B2FB6C4" w14:textId="77777777" w:rsidR="00A11CF9" w:rsidRDefault="00A11CF9" w:rsidP="000829BE">
            <w:r>
              <w:t xml:space="preserve">Please note down your answers on a flip chart. </w:t>
            </w:r>
          </w:p>
          <w:p w14:paraId="20836BA6" w14:textId="77777777" w:rsidR="00A11CF9" w:rsidRDefault="00A11CF9" w:rsidP="000829BE">
            <w:r>
              <w:t xml:space="preserve">After 15 minutes have elapsed, ask the Table Hosts to stay where they are and the other participants to </w:t>
            </w:r>
            <w:proofErr w:type="gramStart"/>
            <w:r>
              <w:t>move</w:t>
            </w:r>
            <w:proofErr w:type="gramEnd"/>
            <w:r>
              <w:t xml:space="preserve"> to the next case study. Ask participants to read the case study at this table, review the answers provided by the previous group and answer two additional questions: </w:t>
            </w:r>
          </w:p>
          <w:p w14:paraId="14B4953B" w14:textId="77777777" w:rsidR="008C2AB3" w:rsidRDefault="008C2AB3" w:rsidP="000829BE">
            <w:pPr>
              <w:pStyle w:val="NormalTextBulletsLevel1"/>
            </w:pPr>
            <w:r w:rsidRPr="008C2AB3">
              <w:t>What other types of programming may be relevant to this standard?</w:t>
            </w:r>
          </w:p>
          <w:p w14:paraId="4CD7EECA" w14:textId="6223DBD0" w:rsidR="008C2AB3" w:rsidRPr="00D911C8" w:rsidRDefault="008C2AB3" w:rsidP="000829BE">
            <w:pPr>
              <w:pStyle w:val="NormalTextBulletsLevel1"/>
            </w:pPr>
            <w:r w:rsidRPr="008C2AB3">
              <w:t>Would the intervention described be relevant to your context</w:t>
            </w:r>
            <w:r w:rsidRPr="008C2AB3">
              <w:rPr>
                <w:rFonts w:ascii="Arial" w:hAnsi="Arial" w:cs="Arial"/>
              </w:rPr>
              <w:t xml:space="preserve">? </w:t>
            </w:r>
          </w:p>
          <w:p w14:paraId="44025502" w14:textId="77777777" w:rsidR="00D911C8" w:rsidRDefault="00D911C8" w:rsidP="000829BE">
            <w:r>
              <w:t xml:space="preserve">After 15 minutes have elapsed, ask the Table Hosts to stay where they are and the other participants to </w:t>
            </w:r>
            <w:proofErr w:type="gramStart"/>
            <w:r>
              <w:t>move</w:t>
            </w:r>
            <w:proofErr w:type="gramEnd"/>
            <w:r>
              <w:t xml:space="preserve"> to the next case study. </w:t>
            </w:r>
            <w:r>
              <w:lastRenderedPageBreak/>
              <w:t xml:space="preserve">Ask participants to read the case study at this table, review the answers provided by the previous group and answer one additional question: </w:t>
            </w:r>
          </w:p>
          <w:p w14:paraId="7F5F3A12" w14:textId="77777777" w:rsidR="003371AB" w:rsidRDefault="003371AB" w:rsidP="000829BE">
            <w:pPr>
              <w:pStyle w:val="NormalTextBulletsLevel1"/>
            </w:pPr>
            <w:r>
              <w:t>What type of challenges might you encounter with this standard?</w:t>
            </w:r>
          </w:p>
          <w:p w14:paraId="55789CB0" w14:textId="77777777" w:rsidR="00D9252D" w:rsidRDefault="00D9252D" w:rsidP="000829BE">
            <w:pPr>
              <w:pStyle w:val="NormalTextBulletsLevel1"/>
            </w:pPr>
          </w:p>
          <w:p w14:paraId="1E7F5571" w14:textId="77777777" w:rsidR="00D9252D" w:rsidRDefault="00D9252D" w:rsidP="000829BE">
            <w:r>
              <w:t xml:space="preserve">Case studies are available in Annex 2.2: </w:t>
            </w:r>
          </w:p>
          <w:p w14:paraId="611D6F9E" w14:textId="77777777" w:rsidR="003B7E62" w:rsidRDefault="003B7E62" w:rsidP="000829BE">
            <w:pPr>
              <w:pStyle w:val="NormalTextBulletsLevel1"/>
            </w:pPr>
            <w:r>
              <w:t xml:space="preserve">Standard 15, Group Activities for Children’s Wellbeing: </w:t>
            </w:r>
            <w:hyperlink r:id="rId9">
              <w:r>
                <w:rPr>
                  <w:u w:val="single"/>
                </w:rPr>
                <w:t>Mobile child-friendly spaces for working children and home-bound girls in Jordan</w:t>
              </w:r>
            </w:hyperlink>
            <w:r>
              <w:rPr>
                <w:u w:val="single"/>
              </w:rPr>
              <w:t>.</w:t>
            </w:r>
          </w:p>
          <w:p w14:paraId="414FEE78" w14:textId="77777777" w:rsidR="003B7E62" w:rsidRDefault="003B7E62" w:rsidP="000829BE">
            <w:pPr>
              <w:pStyle w:val="NormalTextBulletsLevel1"/>
            </w:pPr>
            <w:r>
              <w:t xml:space="preserve">Standard 16,  </w:t>
            </w:r>
            <w:hyperlink r:id="rId10">
              <w:r w:rsidRPr="003B7E62">
                <w:rPr>
                  <w:color w:val="0070C0"/>
                  <w:u w:val="single"/>
                </w:rPr>
                <w:t>Strengthening Family and Caregiving Environments: Parenting in Displacement</w:t>
              </w:r>
            </w:hyperlink>
            <w:r w:rsidRPr="003B7E62">
              <w:rPr>
                <w:color w:val="0070C0"/>
              </w:rPr>
              <w:t xml:space="preserve"> </w:t>
            </w:r>
            <w:r>
              <w:t>(pg. 4 and 5)</w:t>
            </w:r>
          </w:p>
          <w:p w14:paraId="327C44EA" w14:textId="77777777" w:rsidR="003B7E62" w:rsidRDefault="003B7E62" w:rsidP="000829BE">
            <w:pPr>
              <w:pStyle w:val="NormalTextBulletsLevel1"/>
            </w:pPr>
            <w:r>
              <w:t xml:space="preserve">Standard 17, </w:t>
            </w:r>
            <w:hyperlink r:id="rId11">
              <w:r>
                <w:rPr>
                  <w:u w:val="single"/>
                </w:rPr>
                <w:t>Community Level Approaches, Community Level Approaches: A reflective field guide</w:t>
              </w:r>
            </w:hyperlink>
            <w:r>
              <w:t xml:space="preserve"> (pg. 93 to 95)</w:t>
            </w:r>
          </w:p>
          <w:p w14:paraId="646C9E3F" w14:textId="77777777" w:rsidR="003B7E62" w:rsidRDefault="003B7E62" w:rsidP="000829BE">
            <w:pPr>
              <w:pStyle w:val="NormalTextBulletsLevel1"/>
            </w:pPr>
            <w:r>
              <w:t xml:space="preserve">Standard 18, </w:t>
            </w:r>
            <w:hyperlink r:id="rId12">
              <w:r w:rsidRPr="003B7E62">
                <w:rPr>
                  <w:color w:val="0070C0"/>
                  <w:u w:val="single"/>
                </w:rPr>
                <w:t>Case Management: Interagency Guidelines for Case Management and Child Protection</w:t>
              </w:r>
            </w:hyperlink>
            <w:r w:rsidRPr="003B7E62">
              <w:rPr>
                <w:color w:val="0070C0"/>
              </w:rPr>
              <w:t xml:space="preserve">, </w:t>
            </w:r>
            <w:r>
              <w:t>(case study 1, pg. 69)</w:t>
            </w:r>
          </w:p>
          <w:p w14:paraId="35FFBD8A" w14:textId="77777777" w:rsidR="003B7E62" w:rsidRDefault="003B7E62" w:rsidP="000829BE">
            <w:pPr>
              <w:pStyle w:val="NormalTextBulletsLevel1"/>
            </w:pPr>
            <w:r>
              <w:t xml:space="preserve">Standard 19, Alternative Care: </w:t>
            </w:r>
            <w:hyperlink r:id="rId13">
              <w:r>
                <w:rPr>
                  <w:u w:val="single"/>
                </w:rPr>
                <w:t>Brief on Alternative Care Arrangements for Unaccompanied and Separated Children in Humanitarian Context in Uganda</w:t>
              </w:r>
            </w:hyperlink>
          </w:p>
          <w:p w14:paraId="393B66EC" w14:textId="01499DC8" w:rsidR="002F31F0" w:rsidRPr="003E0E4D" w:rsidRDefault="003B7E62" w:rsidP="000829BE">
            <w:pPr>
              <w:pStyle w:val="NormalTextBulletsLevel1"/>
            </w:pPr>
            <w:r>
              <w:t xml:space="preserve">Standard 20, </w:t>
            </w:r>
            <w:hyperlink r:id="rId14">
              <w:r>
                <w:rPr>
                  <w:u w:val="single"/>
                </w:rPr>
                <w:t>Justice for children: Access to Justice for Children in the Era of COVID-19: Notes from the field</w:t>
              </w:r>
            </w:hyperlink>
            <w:r>
              <w:t>, (case study South Sudan, pg. 25)</w:t>
            </w:r>
          </w:p>
        </w:tc>
        <w:tc>
          <w:tcPr>
            <w:tcW w:w="60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1326D72" w14:textId="77777777" w:rsidR="00AB5714" w:rsidRDefault="00AB5714" w:rsidP="000829BE"/>
          <w:p w14:paraId="5FF35821" w14:textId="77777777" w:rsidR="008F19DE" w:rsidRDefault="008F19DE" w:rsidP="000829BE">
            <w:r>
              <w:t xml:space="preserve">Set up 6 breakout </w:t>
            </w:r>
            <w:proofErr w:type="gramStart"/>
            <w:r>
              <w:t>rooms</w:t>
            </w:r>
            <w:proofErr w:type="gramEnd"/>
          </w:p>
          <w:p w14:paraId="1588DA4F" w14:textId="77777777" w:rsidR="008F19DE" w:rsidRDefault="008F19DE" w:rsidP="000829BE">
            <w:r>
              <w:lastRenderedPageBreak/>
              <w:t xml:space="preserve">Set up 6 virtual whiteboards with the title of each case study and assign a participant to be Table Host for each case study. Assign the other participants to groups and explain that they should read the case study and answer two questions: </w:t>
            </w:r>
          </w:p>
          <w:p w14:paraId="3E2BC6E4" w14:textId="77777777" w:rsidR="008F19DE" w:rsidRPr="008F19DE" w:rsidRDefault="008F19DE" w:rsidP="000829BE">
            <w:pPr>
              <w:pStyle w:val="NormalTextBulletsLevel1"/>
            </w:pPr>
            <w:r w:rsidRPr="008F19DE">
              <w:t>Which standard (15-20) is most relevant to the case study?</w:t>
            </w:r>
          </w:p>
          <w:p w14:paraId="3079E987" w14:textId="77777777" w:rsidR="008F19DE" w:rsidRPr="008F19DE" w:rsidRDefault="008F19DE" w:rsidP="000829BE">
            <w:pPr>
              <w:pStyle w:val="NormalTextBulletsLevel1"/>
            </w:pPr>
            <w:r w:rsidRPr="008F19DE">
              <w:t>What key actions from the standard are included/described in the case study?</w:t>
            </w:r>
          </w:p>
          <w:p w14:paraId="5000AB92" w14:textId="77777777" w:rsidR="008F19DE" w:rsidRDefault="008F19DE" w:rsidP="000829BE">
            <w:r>
              <w:t>Check for questions on the task then share the case study through the chat function. Open the breakout rooms.</w:t>
            </w:r>
          </w:p>
          <w:p w14:paraId="44C2DD7A" w14:textId="77777777" w:rsidR="008F19DE" w:rsidRDefault="008F19DE" w:rsidP="000829BE">
            <w:r>
              <w:t xml:space="preserve">After 15 minutes, bring the group back together in plenary and explain that Table Hosts will remain with the same case study. Other participants will move to a different case study. They should read the case study, review the answers from the previous group and then answer two additional questions: </w:t>
            </w:r>
          </w:p>
          <w:p w14:paraId="02B75835" w14:textId="77777777" w:rsidR="008F19DE" w:rsidRPr="008F19DE" w:rsidRDefault="008F19DE" w:rsidP="000829BE">
            <w:pPr>
              <w:pStyle w:val="NormalTextBulletsLevel1"/>
            </w:pPr>
            <w:r w:rsidRPr="008F19DE">
              <w:t>What other types of programming may be relevant to this standard?</w:t>
            </w:r>
          </w:p>
          <w:p w14:paraId="4EBF9649" w14:textId="77777777" w:rsidR="008F19DE" w:rsidRPr="008F19DE" w:rsidRDefault="008F19DE" w:rsidP="000829BE">
            <w:pPr>
              <w:pStyle w:val="NormalTextBulletsLevel1"/>
            </w:pPr>
            <w:r w:rsidRPr="008F19DE">
              <w:t xml:space="preserve">Would the intervention described be relevant to your context? </w:t>
            </w:r>
          </w:p>
          <w:p w14:paraId="26F54EBB" w14:textId="77777777" w:rsidR="008F19DE" w:rsidRDefault="008F19DE" w:rsidP="000829BE">
            <w:r>
              <w:lastRenderedPageBreak/>
              <w:t xml:space="preserve">After 15 minutes bring the group back together in plenary and explain that Table Hosts will remain with the same case study. Other participants will move to a different case study. They should read the case study, review the answers from the previous group and then answer one additional question: </w:t>
            </w:r>
          </w:p>
          <w:p w14:paraId="2BDA2F1B" w14:textId="77777777" w:rsidR="008F19DE" w:rsidRDefault="008F19DE" w:rsidP="000829BE">
            <w:pPr>
              <w:pStyle w:val="NormalTextBulletsLevel1"/>
            </w:pPr>
            <w:r>
              <w:t>What type of challenges might you encounter with this standard?</w:t>
            </w:r>
          </w:p>
          <w:p w14:paraId="6C4DEA1C" w14:textId="77777777" w:rsidR="008F19DE" w:rsidRDefault="008F19DE" w:rsidP="000829BE">
            <w:r>
              <w:t xml:space="preserve">Allow 15 minutes for discussion. Close breakout rooms and allow a </w:t>
            </w:r>
            <w:proofErr w:type="gramStart"/>
            <w:r>
              <w:t>5 minute</w:t>
            </w:r>
            <w:proofErr w:type="gramEnd"/>
            <w:r>
              <w:t xml:space="preserve"> break. </w:t>
            </w:r>
          </w:p>
          <w:p w14:paraId="36E83EE8" w14:textId="27A6CD31" w:rsidR="00CE316F" w:rsidRPr="00F32A42" w:rsidRDefault="00681E1E" w:rsidP="000829BE">
            <w:r>
              <w:t>.</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8C2D07E" w14:textId="77777777" w:rsidR="00CE316F" w:rsidRDefault="00CE316F" w:rsidP="000829BE">
            <w:pPr>
              <w:rPr>
                <w:rStyle w:val="Emphasis"/>
                <w:i w:val="0"/>
                <w:iCs w:val="0"/>
              </w:rPr>
            </w:pPr>
          </w:p>
          <w:p w14:paraId="06C21597" w14:textId="0969AC3C" w:rsidR="00CE316F" w:rsidRPr="00B11BDB" w:rsidRDefault="005B73FD" w:rsidP="000829BE">
            <w:r>
              <w:rPr>
                <w:rStyle w:val="Emphasis"/>
                <w:i w:val="0"/>
                <w:iCs w:val="0"/>
              </w:rPr>
              <w:t>6</w:t>
            </w:r>
            <w:r w:rsidR="00CE316F">
              <w:rPr>
                <w:rStyle w:val="Emphasis"/>
                <w:i w:val="0"/>
                <w:iCs w:val="0"/>
              </w:rPr>
              <w:t>0</w:t>
            </w:r>
            <w:r w:rsidR="00CE316F" w:rsidRPr="00B11BDB">
              <w:rPr>
                <w:rStyle w:val="Emphasis"/>
                <w:i w:val="0"/>
                <w:iCs w:val="0"/>
              </w:rPr>
              <w:t xml:space="preserve"> min</w:t>
            </w:r>
          </w:p>
        </w:tc>
      </w:tr>
      <w:tr w:rsidR="00CE316F" w:rsidRPr="00B11BDB" w14:paraId="27F4A492" w14:textId="77777777" w:rsidTr="00A975BE">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9391618" w14:textId="77777777" w:rsidR="002D5BA9" w:rsidRDefault="002D5BA9" w:rsidP="000829BE"/>
          <w:p w14:paraId="0285C94A" w14:textId="77378D6A" w:rsidR="00710FF4" w:rsidRDefault="002D5BA9" w:rsidP="000829BE">
            <w:r>
              <w:rPr>
                <w:b/>
              </w:rPr>
              <w:lastRenderedPageBreak/>
              <w:t>Instructions:</w:t>
            </w:r>
            <w:r>
              <w:t xml:space="preserve"> In plenary, ask the Table hosts to present the case study assigned to them. Ask other groups to complement and take questions. Complement with information in the relevant standard. </w:t>
            </w:r>
          </w:p>
          <w:p w14:paraId="4738758A" w14:textId="548F00AC" w:rsidR="00710FF4" w:rsidRPr="005A07DB" w:rsidRDefault="00710FF4" w:rsidP="000829BE"/>
        </w:tc>
        <w:tc>
          <w:tcPr>
            <w:tcW w:w="60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42A618" w14:textId="77777777" w:rsidR="00FE3915" w:rsidRDefault="00FE3915" w:rsidP="000829BE"/>
          <w:p w14:paraId="051AA081" w14:textId="67464E9C" w:rsidR="00FE3915" w:rsidRDefault="00FE3915" w:rsidP="000829BE">
            <w:r>
              <w:lastRenderedPageBreak/>
              <w:t>Then come back to plenary for presentations by each Table host. </w:t>
            </w:r>
          </w:p>
          <w:p w14:paraId="21A53C8D" w14:textId="647ACC7B" w:rsidR="00CE316F" w:rsidRPr="008D06BF" w:rsidRDefault="00FE3915" w:rsidP="000829BE">
            <w:r>
              <w:t xml:space="preserve">Show virtual whiteboard for each of the case studies being discussed. </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7F9146" w14:textId="77777777" w:rsidR="00FE3915" w:rsidRDefault="00FE3915" w:rsidP="000829BE">
            <w:pPr>
              <w:rPr>
                <w:rStyle w:val="Emphasis"/>
                <w:i w:val="0"/>
                <w:iCs w:val="0"/>
              </w:rPr>
            </w:pPr>
          </w:p>
          <w:p w14:paraId="5B10A0C6" w14:textId="61D7997E" w:rsidR="00CE316F" w:rsidRPr="00B11BDB" w:rsidRDefault="00FE3915" w:rsidP="000829BE">
            <w:r>
              <w:rPr>
                <w:rStyle w:val="Emphasis"/>
                <w:i w:val="0"/>
                <w:iCs w:val="0"/>
              </w:rPr>
              <w:lastRenderedPageBreak/>
              <w:t>45</w:t>
            </w:r>
            <w:r w:rsidR="00CE316F" w:rsidRPr="00B11BDB">
              <w:rPr>
                <w:rStyle w:val="Emphasis"/>
                <w:i w:val="0"/>
                <w:iCs w:val="0"/>
              </w:rPr>
              <w:t xml:space="preserve"> min</w:t>
            </w:r>
          </w:p>
        </w:tc>
      </w:tr>
      <w:tr w:rsidR="00CE316F" w:rsidRPr="00B11BDB" w14:paraId="1E81CFCA" w14:textId="77777777" w:rsidTr="00A975BE">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149AB35" w14:textId="77777777" w:rsidR="004C26E3" w:rsidRPr="004C26E3" w:rsidRDefault="004C26E3" w:rsidP="000829BE">
            <w:pPr>
              <w:pStyle w:val="TableSmallBlueHeading"/>
            </w:pPr>
            <w:r w:rsidRPr="004C26E3">
              <w:lastRenderedPageBreak/>
              <w:t>Session wrap-up</w:t>
            </w:r>
          </w:p>
          <w:p w14:paraId="55A8C446" w14:textId="2BC48838" w:rsidR="00C24AA6" w:rsidRPr="00C24AA6" w:rsidRDefault="00C24AA6" w:rsidP="000829BE">
            <w:r w:rsidRPr="00C24AA6">
              <w:t xml:space="preserve">Remind participants that they can use their learning log at any time to make a note of key learnings and wrap up the session by showing slide 33. </w:t>
            </w:r>
          </w:p>
          <w:p w14:paraId="467E8B45" w14:textId="77777777" w:rsidR="00C24AA6" w:rsidRPr="00C24AA6" w:rsidRDefault="00C24AA6" w:rsidP="000829BE">
            <w:r w:rsidRPr="00C24AA6">
              <w:t xml:space="preserve">Reflective practice - suggested questions: </w:t>
            </w:r>
          </w:p>
          <w:p w14:paraId="7FB1A7BC" w14:textId="77777777" w:rsidR="00C24AA6" w:rsidRPr="00C24AA6" w:rsidRDefault="00C24AA6" w:rsidP="000829BE">
            <w:pPr>
              <w:pStyle w:val="NormalTextBulletsLevel1"/>
            </w:pPr>
            <w:r w:rsidRPr="00C24AA6">
              <w:t>What can you do now with what you have learnt about CP strategies?</w:t>
            </w:r>
          </w:p>
          <w:p w14:paraId="7A559577" w14:textId="5D7CD70C" w:rsidR="00CE316F" w:rsidRPr="005E160D" w:rsidRDefault="00C24AA6" w:rsidP="000829BE">
            <w:pPr>
              <w:pStyle w:val="NormalTextBulletsLevel1"/>
              <w:rPr>
                <w:rStyle w:val="Emphasis"/>
                <w:rFonts w:ascii="Arial" w:hAnsi="Arial" w:cs="Arial"/>
                <w:i w:val="0"/>
                <w:iCs w:val="0"/>
                <w:color w:val="000000"/>
              </w:rPr>
            </w:pPr>
            <w:r w:rsidRPr="00C24AA6">
              <w:t>What is the most important thing you have learnt today?</w:t>
            </w:r>
          </w:p>
        </w:tc>
        <w:tc>
          <w:tcPr>
            <w:tcW w:w="60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EEDEFFC" w14:textId="77777777" w:rsidR="00C36BCB" w:rsidRDefault="00C36BCB" w:rsidP="000829BE"/>
          <w:p w14:paraId="5FF6FB54" w14:textId="77777777" w:rsidR="00C36BCB" w:rsidRDefault="00C36BCB" w:rsidP="000829BE"/>
          <w:p w14:paraId="7067AC8C" w14:textId="25A75AE0" w:rsidR="00C36BCB" w:rsidRPr="00C36BCB" w:rsidRDefault="00C36BCB" w:rsidP="000829BE"/>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5F3CC18" w14:textId="77777777" w:rsidR="00CE316F" w:rsidRDefault="00CE316F" w:rsidP="000829BE">
            <w:pPr>
              <w:rPr>
                <w:rStyle w:val="Emphasis"/>
                <w:i w:val="0"/>
                <w:iCs w:val="0"/>
              </w:rPr>
            </w:pPr>
          </w:p>
          <w:p w14:paraId="54536621" w14:textId="043DC734" w:rsidR="00CE316F" w:rsidRPr="00B11BDB" w:rsidRDefault="00C24AA6" w:rsidP="000829BE">
            <w:pPr>
              <w:rPr>
                <w:rStyle w:val="Emphasis"/>
                <w:i w:val="0"/>
                <w:iCs w:val="0"/>
              </w:rPr>
            </w:pPr>
            <w:r>
              <w:rPr>
                <w:rStyle w:val="Emphasis"/>
                <w:i w:val="0"/>
                <w:iCs w:val="0"/>
              </w:rPr>
              <w:t>5</w:t>
            </w:r>
            <w:r w:rsidR="00CE316F" w:rsidRPr="00B11BDB">
              <w:rPr>
                <w:rStyle w:val="Emphasis"/>
                <w:i w:val="0"/>
                <w:iCs w:val="0"/>
              </w:rPr>
              <w:t xml:space="preserve"> Min</w:t>
            </w:r>
          </w:p>
        </w:tc>
      </w:tr>
    </w:tbl>
    <w:p w14:paraId="6F561B0F" w14:textId="223C394C" w:rsidR="00F11B8A" w:rsidRDefault="00F11B8A" w:rsidP="000829BE">
      <w:pPr>
        <w:pStyle w:val="1Heading1"/>
      </w:pPr>
      <w:r w:rsidRPr="00857BA0">
        <w:t>Supporting Information</w:t>
      </w:r>
    </w:p>
    <w:p w14:paraId="202781F5" w14:textId="77777777" w:rsidR="00F96683" w:rsidRDefault="00F96683" w:rsidP="000829BE"/>
    <w:p w14:paraId="6DD4E46C" w14:textId="77777777" w:rsidR="00B42377" w:rsidRDefault="00B42377" w:rsidP="000829BE"/>
    <w:p w14:paraId="4E606F1B" w14:textId="77777777" w:rsidR="00B42377" w:rsidRDefault="00B42377" w:rsidP="000829BE"/>
    <w:p w14:paraId="67AE7EAD" w14:textId="65370CF2" w:rsidR="00F11B8A" w:rsidRPr="00F11B8A" w:rsidRDefault="00F11B8A" w:rsidP="000829BE">
      <w:pPr>
        <w:pStyle w:val="1Heading1"/>
      </w:pPr>
      <w:r w:rsidRPr="00F11B8A">
        <w:lastRenderedPageBreak/>
        <w:t>Additional Resources</w:t>
      </w:r>
    </w:p>
    <w:p w14:paraId="02AA4D62" w14:textId="77777777" w:rsidR="00B53841" w:rsidRDefault="00B53841" w:rsidP="000829BE"/>
    <w:p w14:paraId="39068CFF" w14:textId="77777777" w:rsidR="00DE167D" w:rsidRDefault="00000000" w:rsidP="000829BE">
      <w:hyperlink r:id="rId15">
        <w:r w:rsidR="00DE167D" w:rsidRPr="00DE167D">
          <w:rPr>
            <w:color w:val="0070C0"/>
            <w:u w:val="single"/>
          </w:rPr>
          <w:t>Mobile child-friendly spaces for working children and home-bound girls in Jordan</w:t>
        </w:r>
      </w:hyperlink>
      <w:r w:rsidR="00DE167D" w:rsidRPr="00DE167D">
        <w:rPr>
          <w:color w:val="0070C0"/>
        </w:rPr>
        <w:t xml:space="preserve">, </w:t>
      </w:r>
      <w:r w:rsidR="00DE167D">
        <w:t>The Alliance for Child Protection in Humanitarian Action, 2021</w:t>
      </w:r>
    </w:p>
    <w:p w14:paraId="4B5BF6D1" w14:textId="77777777" w:rsidR="00DE167D" w:rsidRDefault="00000000" w:rsidP="000829BE">
      <w:hyperlink r:id="rId16">
        <w:r w:rsidR="00DE167D" w:rsidRPr="00DE167D">
          <w:rPr>
            <w:color w:val="0070C0"/>
            <w:u w:val="single"/>
          </w:rPr>
          <w:t>Parenting in Displacement</w:t>
        </w:r>
      </w:hyperlink>
      <w:r w:rsidR="00DE167D" w:rsidRPr="00DE167D">
        <w:rPr>
          <w:color w:val="0070C0"/>
        </w:rPr>
        <w:t xml:space="preserve">, </w:t>
      </w:r>
      <w:r w:rsidR="00DE167D">
        <w:t>IRC, 2017</w:t>
      </w:r>
    </w:p>
    <w:p w14:paraId="22188426" w14:textId="77777777" w:rsidR="00DE167D" w:rsidRDefault="00000000" w:rsidP="000829BE">
      <w:hyperlink r:id="rId17">
        <w:r w:rsidR="00DE167D" w:rsidRPr="00DE167D">
          <w:rPr>
            <w:color w:val="0070C0"/>
            <w:u w:val="single"/>
          </w:rPr>
          <w:t>Community Level Approaches: A reflective field guide</w:t>
        </w:r>
      </w:hyperlink>
      <w:r w:rsidR="00DE167D" w:rsidRPr="00DE167D">
        <w:rPr>
          <w:color w:val="0070C0"/>
        </w:rPr>
        <w:t xml:space="preserve">, </w:t>
      </w:r>
      <w:r w:rsidR="00DE167D">
        <w:t>The Alliance for Child Protection in Humanitarian Action, 2020</w:t>
      </w:r>
    </w:p>
    <w:p w14:paraId="21925F94" w14:textId="77777777" w:rsidR="00DE167D" w:rsidRDefault="00000000" w:rsidP="000829BE">
      <w:hyperlink r:id="rId18">
        <w:r w:rsidR="00DE167D" w:rsidRPr="00DE167D">
          <w:rPr>
            <w:color w:val="0070C0"/>
            <w:u w:val="single"/>
          </w:rPr>
          <w:t>Interagency Guidelines for Case Management and Child Protection</w:t>
        </w:r>
      </w:hyperlink>
      <w:r w:rsidR="00DE167D" w:rsidRPr="00DE167D">
        <w:rPr>
          <w:color w:val="0070C0"/>
        </w:rPr>
        <w:t xml:space="preserve">, </w:t>
      </w:r>
      <w:r w:rsidR="00DE167D">
        <w:t>Child Protection Working Group, 2014</w:t>
      </w:r>
    </w:p>
    <w:p w14:paraId="076965F8" w14:textId="77777777" w:rsidR="00DE167D" w:rsidRDefault="00000000" w:rsidP="000829BE">
      <w:hyperlink r:id="rId19">
        <w:r w:rsidR="00DE167D" w:rsidRPr="00DE167D">
          <w:rPr>
            <w:color w:val="0070C0"/>
            <w:u w:val="single"/>
          </w:rPr>
          <w:t>Brief on Alternative Care Arrangements for Unaccompanied and Separated Children in Humanitarian Contexts in Uganda</w:t>
        </w:r>
      </w:hyperlink>
      <w:r w:rsidR="00DE167D" w:rsidRPr="00DE167D">
        <w:rPr>
          <w:color w:val="0070C0"/>
        </w:rPr>
        <w:t xml:space="preserve">, </w:t>
      </w:r>
      <w:r w:rsidR="00DE167D">
        <w:t>Uganda Child Protection Sub-Working Group, 2018</w:t>
      </w:r>
    </w:p>
    <w:p w14:paraId="5A6761B2" w14:textId="0BC1CD4B" w:rsidR="00D556FE" w:rsidRPr="00DE167D" w:rsidRDefault="00000000" w:rsidP="000829BE">
      <w:hyperlink r:id="rId20">
        <w:r w:rsidR="00DE167D" w:rsidRPr="00DE167D">
          <w:rPr>
            <w:color w:val="0070C0"/>
            <w:u w:val="single"/>
          </w:rPr>
          <w:t>Access to Justice for Children in the Era of COVID-19: Notes from the field</w:t>
        </w:r>
      </w:hyperlink>
      <w:r w:rsidR="00DE167D">
        <w:t>, UNICEF, 2020</w:t>
      </w:r>
    </w:p>
    <w:p w14:paraId="4B1BD33D" w14:textId="77777777" w:rsidR="00D556FE" w:rsidRPr="00272DB4" w:rsidRDefault="00D556FE" w:rsidP="000829BE"/>
    <w:sectPr w:rsidR="00D556FE" w:rsidRPr="00272DB4" w:rsidSect="00CA47E8">
      <w:headerReference w:type="default" r:id="rId21"/>
      <w:footerReference w:type="even" r:id="rId22"/>
      <w:footerReference w:type="default" r:id="rId23"/>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57C00F" w14:textId="77777777" w:rsidR="000157F1" w:rsidRDefault="000157F1" w:rsidP="000829BE">
      <w:r>
        <w:separator/>
      </w:r>
    </w:p>
  </w:endnote>
  <w:endnote w:type="continuationSeparator" w:id="0">
    <w:p w14:paraId="04262F97" w14:textId="77777777" w:rsidR="000157F1" w:rsidRDefault="000157F1" w:rsidP="00082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800000EB" w:usb1="380160EA" w:usb2="14400000" w:usb3="00000000" w:csb0="80000001" w:csb1="00000000"/>
  </w:font>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default"/>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Times New Roman (Headings CS)">
    <w:altName w:val="Times New Roman"/>
    <w:charset w:val="00"/>
    <w:family w:val="roman"/>
    <w:pitch w:val="default"/>
  </w:font>
  <w:font w:name="Helvetica Neue Light">
    <w:altName w:val="Arial Nova Light"/>
    <w:charset w:val="00"/>
    <w:family w:val="auto"/>
    <w:pitch w:val="variable"/>
    <w:sig w:usb0="A00002FF" w:usb1="5000205B" w:usb2="00000002" w:usb3="00000000" w:csb0="00000007" w:csb1="00000000"/>
  </w:font>
  <w:font w:name="Helvetica Neue Medium">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124356007"/>
      <w:docPartObj>
        <w:docPartGallery w:val="Page Numbers (Bottom of Page)"/>
        <w:docPartUnique/>
      </w:docPartObj>
    </w:sdtPr>
    <w:sdtContent>
      <w:p w14:paraId="296B9F7F" w14:textId="505BCAAD" w:rsidR="00D556FE" w:rsidRDefault="00D556FE" w:rsidP="000829BE">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0829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0829BE">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F3D422" w14:textId="77777777" w:rsidR="000157F1" w:rsidRDefault="000157F1" w:rsidP="000829BE">
      <w:r>
        <w:separator/>
      </w:r>
    </w:p>
  </w:footnote>
  <w:footnote w:type="continuationSeparator" w:id="0">
    <w:p w14:paraId="31F2EB19" w14:textId="77777777" w:rsidR="000157F1" w:rsidRDefault="000157F1" w:rsidP="00082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0829BE">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0BE03EB"/>
    <w:multiLevelType w:val="hybridMultilevel"/>
    <w:tmpl w:val="042ED8CA"/>
    <w:lvl w:ilvl="0" w:tplc="46FE0D56">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2"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13"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16" w15:restartNumberingAfterBreak="0">
    <w:nsid w:val="601C5A91"/>
    <w:multiLevelType w:val="multilevel"/>
    <w:tmpl w:val="5554F5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14"/>
  </w:num>
  <w:num w:numId="8" w16cid:durableId="209920770">
    <w:abstractNumId w:val="7"/>
  </w:num>
  <w:num w:numId="9" w16cid:durableId="1488205232">
    <w:abstractNumId w:val="9"/>
  </w:num>
  <w:num w:numId="10" w16cid:durableId="1967618515">
    <w:abstractNumId w:val="17"/>
  </w:num>
  <w:num w:numId="11" w16cid:durableId="1737974695">
    <w:abstractNumId w:val="10"/>
  </w:num>
  <w:num w:numId="12" w16cid:durableId="778765163">
    <w:abstractNumId w:val="13"/>
  </w:num>
  <w:num w:numId="13" w16cid:durableId="1449592286">
    <w:abstractNumId w:val="6"/>
  </w:num>
  <w:num w:numId="14" w16cid:durableId="603268405">
    <w:abstractNumId w:val="11"/>
  </w:num>
  <w:num w:numId="15" w16cid:durableId="2137290702">
    <w:abstractNumId w:val="15"/>
  </w:num>
  <w:num w:numId="16" w16cid:durableId="265190426">
    <w:abstractNumId w:val="12"/>
  </w:num>
  <w:num w:numId="17" w16cid:durableId="1801337311">
    <w:abstractNumId w:val="8"/>
  </w:num>
  <w:num w:numId="18" w16cid:durableId="1376390430">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63FB"/>
    <w:rsid w:val="00007299"/>
    <w:rsid w:val="000157F1"/>
    <w:rsid w:val="000256A3"/>
    <w:rsid w:val="00025BEE"/>
    <w:rsid w:val="0003222E"/>
    <w:rsid w:val="00037DF8"/>
    <w:rsid w:val="0004041A"/>
    <w:rsid w:val="00042EFD"/>
    <w:rsid w:val="00043DF4"/>
    <w:rsid w:val="000551C1"/>
    <w:rsid w:val="00066E4E"/>
    <w:rsid w:val="00070047"/>
    <w:rsid w:val="00071860"/>
    <w:rsid w:val="000815D8"/>
    <w:rsid w:val="00082945"/>
    <w:rsid w:val="000829BE"/>
    <w:rsid w:val="000856F0"/>
    <w:rsid w:val="00096A42"/>
    <w:rsid w:val="000A6D48"/>
    <w:rsid w:val="000B3112"/>
    <w:rsid w:val="000C40FD"/>
    <w:rsid w:val="000C544D"/>
    <w:rsid w:val="000D2C9A"/>
    <w:rsid w:val="000E2D08"/>
    <w:rsid w:val="000E567A"/>
    <w:rsid w:val="000F7D38"/>
    <w:rsid w:val="00100884"/>
    <w:rsid w:val="001020F3"/>
    <w:rsid w:val="00102C0A"/>
    <w:rsid w:val="00111353"/>
    <w:rsid w:val="00114F49"/>
    <w:rsid w:val="001162ED"/>
    <w:rsid w:val="0011712B"/>
    <w:rsid w:val="0011763C"/>
    <w:rsid w:val="00120045"/>
    <w:rsid w:val="00121CD4"/>
    <w:rsid w:val="00122885"/>
    <w:rsid w:val="00123469"/>
    <w:rsid w:val="00126022"/>
    <w:rsid w:val="001262E9"/>
    <w:rsid w:val="00151C57"/>
    <w:rsid w:val="00165BDB"/>
    <w:rsid w:val="00167184"/>
    <w:rsid w:val="00167E70"/>
    <w:rsid w:val="00171CFC"/>
    <w:rsid w:val="0017581E"/>
    <w:rsid w:val="001822CD"/>
    <w:rsid w:val="001949B4"/>
    <w:rsid w:val="00195A6F"/>
    <w:rsid w:val="001A4E51"/>
    <w:rsid w:val="001A5B2E"/>
    <w:rsid w:val="001B459E"/>
    <w:rsid w:val="001C787A"/>
    <w:rsid w:val="001D2890"/>
    <w:rsid w:val="001D3BF0"/>
    <w:rsid w:val="001E0E49"/>
    <w:rsid w:val="001E1507"/>
    <w:rsid w:val="001E7894"/>
    <w:rsid w:val="001F12EA"/>
    <w:rsid w:val="001F3115"/>
    <w:rsid w:val="00200147"/>
    <w:rsid w:val="00200E93"/>
    <w:rsid w:val="00221051"/>
    <w:rsid w:val="00222921"/>
    <w:rsid w:val="0022703F"/>
    <w:rsid w:val="00227177"/>
    <w:rsid w:val="00232D1A"/>
    <w:rsid w:val="0024593E"/>
    <w:rsid w:val="00261C71"/>
    <w:rsid w:val="00264B8C"/>
    <w:rsid w:val="00270A09"/>
    <w:rsid w:val="00272DB4"/>
    <w:rsid w:val="00274746"/>
    <w:rsid w:val="00283FC8"/>
    <w:rsid w:val="002A26BD"/>
    <w:rsid w:val="002A4B73"/>
    <w:rsid w:val="002B0B75"/>
    <w:rsid w:val="002B2FB0"/>
    <w:rsid w:val="002B32F2"/>
    <w:rsid w:val="002B4588"/>
    <w:rsid w:val="002B7BB4"/>
    <w:rsid w:val="002C0708"/>
    <w:rsid w:val="002C16F2"/>
    <w:rsid w:val="002C43F3"/>
    <w:rsid w:val="002C55BC"/>
    <w:rsid w:val="002D3C89"/>
    <w:rsid w:val="002D5BA9"/>
    <w:rsid w:val="002E3096"/>
    <w:rsid w:val="002F31F0"/>
    <w:rsid w:val="00306D58"/>
    <w:rsid w:val="0031183C"/>
    <w:rsid w:val="0031555B"/>
    <w:rsid w:val="00322BDC"/>
    <w:rsid w:val="00332C25"/>
    <w:rsid w:val="0033320B"/>
    <w:rsid w:val="00335E68"/>
    <w:rsid w:val="00336EDF"/>
    <w:rsid w:val="003371AB"/>
    <w:rsid w:val="003452B8"/>
    <w:rsid w:val="0035251E"/>
    <w:rsid w:val="0035522E"/>
    <w:rsid w:val="00361A4C"/>
    <w:rsid w:val="00362AFF"/>
    <w:rsid w:val="003742FA"/>
    <w:rsid w:val="00374FA8"/>
    <w:rsid w:val="00375BF5"/>
    <w:rsid w:val="0038071B"/>
    <w:rsid w:val="00380AD6"/>
    <w:rsid w:val="00383E42"/>
    <w:rsid w:val="0038590D"/>
    <w:rsid w:val="00390ECC"/>
    <w:rsid w:val="003954E3"/>
    <w:rsid w:val="00395B8B"/>
    <w:rsid w:val="003A729C"/>
    <w:rsid w:val="003B184F"/>
    <w:rsid w:val="003B2E76"/>
    <w:rsid w:val="003B7E62"/>
    <w:rsid w:val="003C57B2"/>
    <w:rsid w:val="003C637E"/>
    <w:rsid w:val="003C7AFF"/>
    <w:rsid w:val="003D0BF0"/>
    <w:rsid w:val="003D1A61"/>
    <w:rsid w:val="003D684C"/>
    <w:rsid w:val="003E0223"/>
    <w:rsid w:val="003E0E4D"/>
    <w:rsid w:val="003E3C90"/>
    <w:rsid w:val="003F18FE"/>
    <w:rsid w:val="003F7E98"/>
    <w:rsid w:val="00404A60"/>
    <w:rsid w:val="00405880"/>
    <w:rsid w:val="0041017E"/>
    <w:rsid w:val="00411AF2"/>
    <w:rsid w:val="00431CCD"/>
    <w:rsid w:val="004339B1"/>
    <w:rsid w:val="004361C5"/>
    <w:rsid w:val="0044124C"/>
    <w:rsid w:val="00442077"/>
    <w:rsid w:val="00442CC5"/>
    <w:rsid w:val="00461C65"/>
    <w:rsid w:val="0046463A"/>
    <w:rsid w:val="00464ABA"/>
    <w:rsid w:val="0046604C"/>
    <w:rsid w:val="00472B81"/>
    <w:rsid w:val="00481F23"/>
    <w:rsid w:val="0048224D"/>
    <w:rsid w:val="004825A4"/>
    <w:rsid w:val="0048645E"/>
    <w:rsid w:val="00493694"/>
    <w:rsid w:val="00496859"/>
    <w:rsid w:val="004A69D8"/>
    <w:rsid w:val="004B2FBC"/>
    <w:rsid w:val="004B3392"/>
    <w:rsid w:val="004C26E3"/>
    <w:rsid w:val="004C6180"/>
    <w:rsid w:val="004C7B82"/>
    <w:rsid w:val="004D125A"/>
    <w:rsid w:val="004D2441"/>
    <w:rsid w:val="004D2A08"/>
    <w:rsid w:val="004D42B9"/>
    <w:rsid w:val="004D463D"/>
    <w:rsid w:val="004D5499"/>
    <w:rsid w:val="004E4D53"/>
    <w:rsid w:val="004E50CD"/>
    <w:rsid w:val="004E5908"/>
    <w:rsid w:val="004F7CEE"/>
    <w:rsid w:val="00500D53"/>
    <w:rsid w:val="005072D6"/>
    <w:rsid w:val="005136AB"/>
    <w:rsid w:val="00520DE6"/>
    <w:rsid w:val="00522C3E"/>
    <w:rsid w:val="005265F0"/>
    <w:rsid w:val="0055332C"/>
    <w:rsid w:val="0055659B"/>
    <w:rsid w:val="00565C03"/>
    <w:rsid w:val="00566755"/>
    <w:rsid w:val="00582B20"/>
    <w:rsid w:val="00583EBE"/>
    <w:rsid w:val="00584BB3"/>
    <w:rsid w:val="00586250"/>
    <w:rsid w:val="00591CD5"/>
    <w:rsid w:val="0059398D"/>
    <w:rsid w:val="005970E1"/>
    <w:rsid w:val="005A07DB"/>
    <w:rsid w:val="005A41ED"/>
    <w:rsid w:val="005B313E"/>
    <w:rsid w:val="005B638D"/>
    <w:rsid w:val="005B73FD"/>
    <w:rsid w:val="005C243B"/>
    <w:rsid w:val="005E160D"/>
    <w:rsid w:val="005E16E1"/>
    <w:rsid w:val="005E2B0B"/>
    <w:rsid w:val="005E3A50"/>
    <w:rsid w:val="005E44A4"/>
    <w:rsid w:val="005E6D26"/>
    <w:rsid w:val="005F203E"/>
    <w:rsid w:val="005F39C1"/>
    <w:rsid w:val="0060204C"/>
    <w:rsid w:val="0060646B"/>
    <w:rsid w:val="00612D9A"/>
    <w:rsid w:val="006154AB"/>
    <w:rsid w:val="0062330A"/>
    <w:rsid w:val="00625385"/>
    <w:rsid w:val="006269A6"/>
    <w:rsid w:val="0062766C"/>
    <w:rsid w:val="00631B59"/>
    <w:rsid w:val="00636859"/>
    <w:rsid w:val="00642DCD"/>
    <w:rsid w:val="00644903"/>
    <w:rsid w:val="00653019"/>
    <w:rsid w:val="00657E43"/>
    <w:rsid w:val="006815DF"/>
    <w:rsid w:val="00681E1E"/>
    <w:rsid w:val="00683E91"/>
    <w:rsid w:val="0068737E"/>
    <w:rsid w:val="006901CE"/>
    <w:rsid w:val="00693399"/>
    <w:rsid w:val="006A0D14"/>
    <w:rsid w:val="006A6E15"/>
    <w:rsid w:val="006A77BF"/>
    <w:rsid w:val="006B357B"/>
    <w:rsid w:val="006B787E"/>
    <w:rsid w:val="006D7B92"/>
    <w:rsid w:val="006F3201"/>
    <w:rsid w:val="007048D2"/>
    <w:rsid w:val="007056C9"/>
    <w:rsid w:val="00710FF4"/>
    <w:rsid w:val="007139CF"/>
    <w:rsid w:val="00716D84"/>
    <w:rsid w:val="00716F73"/>
    <w:rsid w:val="007225B3"/>
    <w:rsid w:val="00730614"/>
    <w:rsid w:val="00730F05"/>
    <w:rsid w:val="007314B0"/>
    <w:rsid w:val="007355DD"/>
    <w:rsid w:val="00735F5E"/>
    <w:rsid w:val="00743978"/>
    <w:rsid w:val="0074643B"/>
    <w:rsid w:val="00753919"/>
    <w:rsid w:val="00763989"/>
    <w:rsid w:val="0076516F"/>
    <w:rsid w:val="00772A49"/>
    <w:rsid w:val="007A1A42"/>
    <w:rsid w:val="007A2A5B"/>
    <w:rsid w:val="007B355F"/>
    <w:rsid w:val="007B51F8"/>
    <w:rsid w:val="007C0D63"/>
    <w:rsid w:val="007C60E5"/>
    <w:rsid w:val="007C6D87"/>
    <w:rsid w:val="007D4390"/>
    <w:rsid w:val="007D6403"/>
    <w:rsid w:val="007F0134"/>
    <w:rsid w:val="007F281B"/>
    <w:rsid w:val="00802017"/>
    <w:rsid w:val="008021B3"/>
    <w:rsid w:val="00806858"/>
    <w:rsid w:val="00807F81"/>
    <w:rsid w:val="00844299"/>
    <w:rsid w:val="00856CC3"/>
    <w:rsid w:val="00857BA0"/>
    <w:rsid w:val="00862B76"/>
    <w:rsid w:val="00864647"/>
    <w:rsid w:val="0086548E"/>
    <w:rsid w:val="00871A58"/>
    <w:rsid w:val="0087299D"/>
    <w:rsid w:val="00875428"/>
    <w:rsid w:val="008829D9"/>
    <w:rsid w:val="00885F7C"/>
    <w:rsid w:val="00890858"/>
    <w:rsid w:val="00892759"/>
    <w:rsid w:val="00893E48"/>
    <w:rsid w:val="008A1ECF"/>
    <w:rsid w:val="008B039D"/>
    <w:rsid w:val="008B051C"/>
    <w:rsid w:val="008B1735"/>
    <w:rsid w:val="008B462C"/>
    <w:rsid w:val="008C1256"/>
    <w:rsid w:val="008C2AB3"/>
    <w:rsid w:val="008C2B38"/>
    <w:rsid w:val="008C638A"/>
    <w:rsid w:val="008D06BF"/>
    <w:rsid w:val="008D073D"/>
    <w:rsid w:val="008D3663"/>
    <w:rsid w:val="008F19DE"/>
    <w:rsid w:val="008F1B5D"/>
    <w:rsid w:val="008F2FAD"/>
    <w:rsid w:val="00901D03"/>
    <w:rsid w:val="00903A62"/>
    <w:rsid w:val="009136B5"/>
    <w:rsid w:val="00917B82"/>
    <w:rsid w:val="009262C9"/>
    <w:rsid w:val="00927D93"/>
    <w:rsid w:val="00954ABB"/>
    <w:rsid w:val="00955F0D"/>
    <w:rsid w:val="00955FE1"/>
    <w:rsid w:val="009626FF"/>
    <w:rsid w:val="00972E4E"/>
    <w:rsid w:val="00975D77"/>
    <w:rsid w:val="00985A5C"/>
    <w:rsid w:val="00986AA0"/>
    <w:rsid w:val="00994647"/>
    <w:rsid w:val="00995B3B"/>
    <w:rsid w:val="009A2389"/>
    <w:rsid w:val="009A2600"/>
    <w:rsid w:val="009A4709"/>
    <w:rsid w:val="009A4F3C"/>
    <w:rsid w:val="009B2DE6"/>
    <w:rsid w:val="009C7619"/>
    <w:rsid w:val="009C786D"/>
    <w:rsid w:val="009D4400"/>
    <w:rsid w:val="009E2DF3"/>
    <w:rsid w:val="009F0410"/>
    <w:rsid w:val="009F1484"/>
    <w:rsid w:val="009F2223"/>
    <w:rsid w:val="009F38FF"/>
    <w:rsid w:val="009F4CD1"/>
    <w:rsid w:val="009F4F07"/>
    <w:rsid w:val="009F58D9"/>
    <w:rsid w:val="009F5C9B"/>
    <w:rsid w:val="00A000C1"/>
    <w:rsid w:val="00A05555"/>
    <w:rsid w:val="00A11CF9"/>
    <w:rsid w:val="00A22DC4"/>
    <w:rsid w:val="00A341D9"/>
    <w:rsid w:val="00A3621E"/>
    <w:rsid w:val="00A47B94"/>
    <w:rsid w:val="00A54234"/>
    <w:rsid w:val="00A55FA7"/>
    <w:rsid w:val="00A5633F"/>
    <w:rsid w:val="00A63219"/>
    <w:rsid w:val="00A74731"/>
    <w:rsid w:val="00A80E6A"/>
    <w:rsid w:val="00A80EB3"/>
    <w:rsid w:val="00A8236D"/>
    <w:rsid w:val="00A8663C"/>
    <w:rsid w:val="00A903D6"/>
    <w:rsid w:val="00A975BE"/>
    <w:rsid w:val="00AA5928"/>
    <w:rsid w:val="00AB1C5D"/>
    <w:rsid w:val="00AB5714"/>
    <w:rsid w:val="00AC392E"/>
    <w:rsid w:val="00AC4257"/>
    <w:rsid w:val="00AC4DA9"/>
    <w:rsid w:val="00AD45CF"/>
    <w:rsid w:val="00AD6C6D"/>
    <w:rsid w:val="00AE07D8"/>
    <w:rsid w:val="00AE16C9"/>
    <w:rsid w:val="00AE3120"/>
    <w:rsid w:val="00AF1F68"/>
    <w:rsid w:val="00B10652"/>
    <w:rsid w:val="00B10AE4"/>
    <w:rsid w:val="00B11BDB"/>
    <w:rsid w:val="00B1716F"/>
    <w:rsid w:val="00B1753A"/>
    <w:rsid w:val="00B2036D"/>
    <w:rsid w:val="00B32228"/>
    <w:rsid w:val="00B42377"/>
    <w:rsid w:val="00B464D0"/>
    <w:rsid w:val="00B4785C"/>
    <w:rsid w:val="00B53841"/>
    <w:rsid w:val="00B6340C"/>
    <w:rsid w:val="00B63478"/>
    <w:rsid w:val="00B6514C"/>
    <w:rsid w:val="00B71066"/>
    <w:rsid w:val="00B760C7"/>
    <w:rsid w:val="00B77057"/>
    <w:rsid w:val="00B819A5"/>
    <w:rsid w:val="00B81DD7"/>
    <w:rsid w:val="00B8657B"/>
    <w:rsid w:val="00B86929"/>
    <w:rsid w:val="00B878CF"/>
    <w:rsid w:val="00B94ECB"/>
    <w:rsid w:val="00BA2D17"/>
    <w:rsid w:val="00BA330C"/>
    <w:rsid w:val="00BB499B"/>
    <w:rsid w:val="00BB6AB0"/>
    <w:rsid w:val="00BD5FF8"/>
    <w:rsid w:val="00BF0E95"/>
    <w:rsid w:val="00BF0FE6"/>
    <w:rsid w:val="00BF46B5"/>
    <w:rsid w:val="00BF5183"/>
    <w:rsid w:val="00BF6052"/>
    <w:rsid w:val="00BF76FC"/>
    <w:rsid w:val="00C01F3A"/>
    <w:rsid w:val="00C0538F"/>
    <w:rsid w:val="00C145B8"/>
    <w:rsid w:val="00C24AA6"/>
    <w:rsid w:val="00C36BCB"/>
    <w:rsid w:val="00C4247E"/>
    <w:rsid w:val="00C44085"/>
    <w:rsid w:val="00C455B1"/>
    <w:rsid w:val="00C51A81"/>
    <w:rsid w:val="00C53D96"/>
    <w:rsid w:val="00C6026E"/>
    <w:rsid w:val="00C61869"/>
    <w:rsid w:val="00C705B7"/>
    <w:rsid w:val="00C70E50"/>
    <w:rsid w:val="00C719CF"/>
    <w:rsid w:val="00C7494A"/>
    <w:rsid w:val="00C810E0"/>
    <w:rsid w:val="00C8203B"/>
    <w:rsid w:val="00C87A43"/>
    <w:rsid w:val="00C9183D"/>
    <w:rsid w:val="00C92BE5"/>
    <w:rsid w:val="00C952FD"/>
    <w:rsid w:val="00C96D28"/>
    <w:rsid w:val="00C96D9F"/>
    <w:rsid w:val="00CA47E8"/>
    <w:rsid w:val="00CA5852"/>
    <w:rsid w:val="00CB4F5C"/>
    <w:rsid w:val="00CC21C2"/>
    <w:rsid w:val="00CC5192"/>
    <w:rsid w:val="00CD026E"/>
    <w:rsid w:val="00CD4FAA"/>
    <w:rsid w:val="00CD51C0"/>
    <w:rsid w:val="00CE1C4E"/>
    <w:rsid w:val="00CE316F"/>
    <w:rsid w:val="00CE68EA"/>
    <w:rsid w:val="00CF1376"/>
    <w:rsid w:val="00CF4515"/>
    <w:rsid w:val="00CF54C4"/>
    <w:rsid w:val="00CF6EB1"/>
    <w:rsid w:val="00CF70FB"/>
    <w:rsid w:val="00D0067C"/>
    <w:rsid w:val="00D0395D"/>
    <w:rsid w:val="00D07D72"/>
    <w:rsid w:val="00D16380"/>
    <w:rsid w:val="00D24EC3"/>
    <w:rsid w:val="00D2619C"/>
    <w:rsid w:val="00D314D9"/>
    <w:rsid w:val="00D33088"/>
    <w:rsid w:val="00D53831"/>
    <w:rsid w:val="00D53F8C"/>
    <w:rsid w:val="00D54152"/>
    <w:rsid w:val="00D556FE"/>
    <w:rsid w:val="00D56360"/>
    <w:rsid w:val="00D85A71"/>
    <w:rsid w:val="00D911C8"/>
    <w:rsid w:val="00D9252D"/>
    <w:rsid w:val="00D9456F"/>
    <w:rsid w:val="00D95110"/>
    <w:rsid w:val="00DA6DDF"/>
    <w:rsid w:val="00DA75AC"/>
    <w:rsid w:val="00DB318A"/>
    <w:rsid w:val="00DB3372"/>
    <w:rsid w:val="00DB40A1"/>
    <w:rsid w:val="00DC0276"/>
    <w:rsid w:val="00DC1BDA"/>
    <w:rsid w:val="00DC53DB"/>
    <w:rsid w:val="00DD0F5B"/>
    <w:rsid w:val="00DD2883"/>
    <w:rsid w:val="00DD30FA"/>
    <w:rsid w:val="00DE167D"/>
    <w:rsid w:val="00DF51B8"/>
    <w:rsid w:val="00E0506C"/>
    <w:rsid w:val="00E11AE8"/>
    <w:rsid w:val="00E1691E"/>
    <w:rsid w:val="00E234E3"/>
    <w:rsid w:val="00E2352A"/>
    <w:rsid w:val="00E41763"/>
    <w:rsid w:val="00E47570"/>
    <w:rsid w:val="00E54B53"/>
    <w:rsid w:val="00E62A52"/>
    <w:rsid w:val="00E63327"/>
    <w:rsid w:val="00E64495"/>
    <w:rsid w:val="00E6735A"/>
    <w:rsid w:val="00E7075D"/>
    <w:rsid w:val="00E80270"/>
    <w:rsid w:val="00E83BF0"/>
    <w:rsid w:val="00E85FBB"/>
    <w:rsid w:val="00E872A5"/>
    <w:rsid w:val="00E91BD2"/>
    <w:rsid w:val="00E936D1"/>
    <w:rsid w:val="00E969B9"/>
    <w:rsid w:val="00EA12B8"/>
    <w:rsid w:val="00EA183C"/>
    <w:rsid w:val="00EA28B2"/>
    <w:rsid w:val="00EA3B39"/>
    <w:rsid w:val="00EA546B"/>
    <w:rsid w:val="00EB1CBF"/>
    <w:rsid w:val="00EC0390"/>
    <w:rsid w:val="00EC768B"/>
    <w:rsid w:val="00ED1EA3"/>
    <w:rsid w:val="00ED33C7"/>
    <w:rsid w:val="00EF06A8"/>
    <w:rsid w:val="00F11AEB"/>
    <w:rsid w:val="00F11B8A"/>
    <w:rsid w:val="00F174DA"/>
    <w:rsid w:val="00F22D66"/>
    <w:rsid w:val="00F24611"/>
    <w:rsid w:val="00F31A8A"/>
    <w:rsid w:val="00F32A42"/>
    <w:rsid w:val="00F35795"/>
    <w:rsid w:val="00F441F4"/>
    <w:rsid w:val="00F60686"/>
    <w:rsid w:val="00F60FCC"/>
    <w:rsid w:val="00F71D9E"/>
    <w:rsid w:val="00F812CC"/>
    <w:rsid w:val="00F87CCB"/>
    <w:rsid w:val="00F93CA5"/>
    <w:rsid w:val="00F94603"/>
    <w:rsid w:val="00F96683"/>
    <w:rsid w:val="00FB4CB9"/>
    <w:rsid w:val="00FC1696"/>
    <w:rsid w:val="00FC1B61"/>
    <w:rsid w:val="00FC56D3"/>
    <w:rsid w:val="00FD00E0"/>
    <w:rsid w:val="00FD0106"/>
    <w:rsid w:val="00FD2DD3"/>
    <w:rsid w:val="00FD4D05"/>
    <w:rsid w:val="00FD53A6"/>
    <w:rsid w:val="00FE3915"/>
    <w:rsid w:val="00FE3D46"/>
    <w:rsid w:val="00FE4710"/>
    <w:rsid w:val="00FE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0829BE"/>
    <w:pPr>
      <w:spacing w:after="120" w:line="300" w:lineRule="auto"/>
    </w:pPr>
    <w:rPr>
      <w:rFonts w:ascii="Open Sans" w:eastAsia="Arial"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ascii="Arial" w:hAnsi="Arial" w:cs="Arial"/>
      <w:b/>
      <w:bCs/>
      <w:color w:val="FFFFFF" w:themeColor="background1"/>
      <w:lang w:val="en-GB" w:eastAsia="en-ZA"/>
    </w:rPr>
  </w:style>
  <w:style w:type="paragraph" w:customStyle="1" w:styleId="Mormal03CMIndent">
    <w:name w:val="Mormal 0.3 CM Indent"/>
    <w:basedOn w:val="Normal"/>
    <w:qFormat/>
    <w:rsid w:val="00E63327"/>
    <w:pPr>
      <w:spacing w:before="120" w:line="276" w:lineRule="auto"/>
      <w:ind w:left="170"/>
    </w:pPr>
    <w:rPr>
      <w:rFonts w:ascii="Arial" w:hAnsi="Arial" w:cs="Arial"/>
      <w:sz w:val="20"/>
      <w:szCs w:val="20"/>
      <w:lang w:val="en-GB"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3A729C"/>
    <w:pPr>
      <w:ind w:left="0"/>
    </w:pPr>
    <w:rPr>
      <w:rFonts w:ascii="Helvetica Neue Light" w:hAnsi="Helvetica Neue Light"/>
      <w:b/>
      <w:bCs/>
      <w:color w:val="315072"/>
      <w:spacing w:val="20"/>
      <w:sz w:val="22"/>
      <w:szCs w:val="22"/>
    </w:rPr>
  </w:style>
  <w:style w:type="paragraph" w:customStyle="1" w:styleId="NormalTextBulletsLevel1">
    <w:name w:val="Normal Text Bullets Level 1"/>
    <w:basedOn w:val="ListParagraph"/>
    <w:rsid w:val="00200147"/>
    <w:pPr>
      <w:numPr>
        <w:numId w:val="15"/>
      </w:numPr>
      <w:ind w:left="641"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9F38FF"/>
    <w:pPr>
      <w:numPr>
        <w:numId w:val="17"/>
      </w:numPr>
    </w:pPr>
  </w:style>
  <w:style w:type="paragraph" w:customStyle="1" w:styleId="NormalFontForTable">
    <w:name w:val="Normal Font For Table"/>
    <w:basedOn w:val="Normal"/>
    <w:rsid w:val="004825A4"/>
    <w:pPr>
      <w:spacing w:before="60" w:after="60" w:line="240" w:lineRule="auto"/>
      <w:ind w:left="17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https://bettercarenetwork.org/sites/default/files/2020-10/Alternative%20Care%20Arrangements%20for%20Unaccompanied%20%26%20Separated%20Children%20In%20Humanitarian%20Contexts%20In%20Uganda%2C%202018.pdf" TargetMode="External"/><Relationship Id="rId18" Type="http://schemas.openxmlformats.org/officeDocument/2006/relationships/hyperlink" Target="https://resourcecentre.savethechildren.net/document/inter-agency-guidelines-case-management-and-child-protectio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resourcecentre.savethechildren.net/document/inter-agency-guidelines-case-management-and-child-protection/" TargetMode="External"/><Relationship Id="rId17" Type="http://schemas.openxmlformats.org/officeDocument/2006/relationships/hyperlink" Target="https://www.alliancecpha.org/en/system/tdf/library/attachments/ccp-_reflective_field_guide.pdf?file=1&amp;type=node&amp;id=37906"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escue.org/sites/default/files/document/2086/parentingindisplacementreport-single-101917.pdf" TargetMode="External"/><Relationship Id="rId20" Type="http://schemas.openxmlformats.org/officeDocument/2006/relationships/hyperlink" Target="https://www.unicef.org/media/92251/file/Access-to-Justice-COVID-19-Field-Notes-202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lliancecpha.org/en/system/tdf/library/attachments/ccp-_reflective_field_guide.pdf?file=1&amp;type=node&amp;id=37906"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alliancecpha.org/en/system/tdf/library/attachments/cs_14_jordan_cfs.pdf?file=1&amp;type=node&amp;id=41781" TargetMode="External"/><Relationship Id="rId23" Type="http://schemas.openxmlformats.org/officeDocument/2006/relationships/footer" Target="footer2.xml"/><Relationship Id="rId10" Type="http://schemas.openxmlformats.org/officeDocument/2006/relationships/hyperlink" Target="https://www.rescue.org/sites/default/files/document/2086/parentingindisplacementreport-single-101917.pdf" TargetMode="External"/><Relationship Id="rId19" Type="http://schemas.openxmlformats.org/officeDocument/2006/relationships/hyperlink" Target="https://bettercarenetwork.org/sites/default/files/2020-10/Alternative%20Care%20Arrangements%20for%20Unaccompanied%20%26%20Separated%20Children%20In%20Humanitarian%20Contexts%20In%20Uganda%2C%202018.pdf" TargetMode="External"/><Relationship Id="rId4" Type="http://schemas.openxmlformats.org/officeDocument/2006/relationships/settings" Target="settings.xml"/><Relationship Id="rId9" Type="http://schemas.openxmlformats.org/officeDocument/2006/relationships/hyperlink" Target="https://alliancecpha.org/en/system/tdf/library/attachments/cs_14_jordan_cfs.pdf?file=1&amp;type=node&amp;id=41781" TargetMode="External"/><Relationship Id="rId14" Type="http://schemas.openxmlformats.org/officeDocument/2006/relationships/hyperlink" Target="https://www.unicef.org/media/92251/file/Access-to-Justice-COVID-19-Field-Notes-2021.pdf"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1632</Words>
  <Characters>9304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jonathan auret</cp:lastModifiedBy>
  <cp:revision>33</cp:revision>
  <dcterms:created xsi:type="dcterms:W3CDTF">2024-05-08T13:37:00Z</dcterms:created>
  <dcterms:modified xsi:type="dcterms:W3CDTF">2024-05-15T12:12:00Z</dcterms:modified>
</cp:coreProperties>
</file>